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054A46CE" w:rsidR="00411207" w:rsidRPr="00643101" w:rsidRDefault="003E531A" w:rsidP="001962C7">
      <w:pPr>
        <w:spacing w:line="360" w:lineRule="auto"/>
        <w:ind w:left="709"/>
        <w:jc w:val="center"/>
        <w:rPr>
          <w:b/>
          <w:sz w:val="28"/>
          <w:szCs w:val="24"/>
        </w:rPr>
      </w:pPr>
      <w:r w:rsidRPr="00643101">
        <w:rPr>
          <w:b/>
          <w:sz w:val="28"/>
          <w:szCs w:val="24"/>
        </w:rPr>
        <w:t>ALAT BUKTI AKTA DAN KEKUATAN PEMBUKTIANNYA</w:t>
      </w:r>
    </w:p>
    <w:p w14:paraId="0D8AF5E6" w14:textId="2456FE59" w:rsidR="003E531A" w:rsidRPr="00643101" w:rsidRDefault="00431534" w:rsidP="003B1DDD">
      <w:pPr>
        <w:spacing w:line="240" w:lineRule="auto"/>
        <w:ind w:left="709"/>
        <w:jc w:val="center"/>
        <w:rPr>
          <w:sz w:val="24"/>
          <w:szCs w:val="24"/>
        </w:rPr>
      </w:pPr>
      <w:r w:rsidRPr="00643101">
        <w:rPr>
          <w:sz w:val="24"/>
          <w:szCs w:val="24"/>
        </w:rPr>
        <w:t>Oleh</w:t>
      </w:r>
      <w:r w:rsidR="003E531A" w:rsidRPr="00643101">
        <w:rPr>
          <w:sz w:val="24"/>
          <w:szCs w:val="24"/>
        </w:rPr>
        <w:t>: DR. H. Insyafli, M.H</w:t>
      </w:r>
      <w:r w:rsidRPr="00643101">
        <w:rPr>
          <w:sz w:val="24"/>
          <w:szCs w:val="24"/>
        </w:rPr>
        <w:t>.</w:t>
      </w:r>
      <w:r w:rsidR="003E531A" w:rsidRPr="00643101">
        <w:rPr>
          <w:sz w:val="24"/>
          <w:szCs w:val="24"/>
        </w:rPr>
        <w:t>I</w:t>
      </w:r>
      <w:r w:rsidRPr="00643101">
        <w:rPr>
          <w:sz w:val="24"/>
          <w:szCs w:val="24"/>
        </w:rPr>
        <w:t>.</w:t>
      </w:r>
    </w:p>
    <w:p w14:paraId="0C326AC1" w14:textId="2FD49D58" w:rsidR="003E531A" w:rsidRPr="00643101" w:rsidRDefault="003E531A" w:rsidP="003B1DDD">
      <w:pPr>
        <w:spacing w:line="240" w:lineRule="auto"/>
        <w:ind w:left="709"/>
        <w:jc w:val="center"/>
        <w:rPr>
          <w:sz w:val="24"/>
          <w:szCs w:val="24"/>
        </w:rPr>
      </w:pPr>
      <w:r w:rsidRPr="00643101">
        <w:rPr>
          <w:sz w:val="24"/>
          <w:szCs w:val="24"/>
        </w:rPr>
        <w:t>Ketua Pengadilan Tinggi Agama Bandar Lampung</w:t>
      </w:r>
    </w:p>
    <w:p w14:paraId="7685857A" w14:textId="77777777" w:rsidR="00103DC1" w:rsidRPr="00643101" w:rsidRDefault="00103DC1" w:rsidP="001962C7">
      <w:pPr>
        <w:spacing w:line="360" w:lineRule="auto"/>
        <w:ind w:left="709"/>
        <w:jc w:val="center"/>
        <w:rPr>
          <w:sz w:val="24"/>
          <w:szCs w:val="24"/>
        </w:rPr>
      </w:pPr>
    </w:p>
    <w:p w14:paraId="1D98F568" w14:textId="7ADCDF63" w:rsidR="00744A2E" w:rsidRPr="00643101" w:rsidRDefault="00744A2E" w:rsidP="001962C7">
      <w:pPr>
        <w:pStyle w:val="Heading1"/>
        <w:numPr>
          <w:ilvl w:val="0"/>
          <w:numId w:val="5"/>
        </w:numPr>
        <w:spacing w:before="240" w:line="360" w:lineRule="auto"/>
        <w:ind w:left="709" w:hanging="349"/>
        <w:rPr>
          <w:b/>
          <w:sz w:val="24"/>
        </w:rPr>
      </w:pPr>
      <w:r w:rsidRPr="00643101">
        <w:rPr>
          <w:b/>
          <w:sz w:val="24"/>
        </w:rPr>
        <w:t>Pengantar</w:t>
      </w:r>
    </w:p>
    <w:p w14:paraId="15CC63A3" w14:textId="6A132771" w:rsidR="00307016" w:rsidRPr="00643101" w:rsidRDefault="00307016" w:rsidP="001962C7">
      <w:pPr>
        <w:spacing w:line="360" w:lineRule="auto"/>
        <w:ind w:left="709" w:firstLine="720"/>
        <w:jc w:val="both"/>
        <w:rPr>
          <w:sz w:val="24"/>
          <w:szCs w:val="24"/>
        </w:rPr>
      </w:pPr>
      <w:r w:rsidRPr="00643101">
        <w:rPr>
          <w:sz w:val="24"/>
          <w:szCs w:val="24"/>
        </w:rPr>
        <w:t>Pasal 1865 BW</w:t>
      </w:r>
      <w:r w:rsidR="00431534" w:rsidRPr="00643101">
        <w:rPr>
          <w:sz w:val="24"/>
          <w:szCs w:val="24"/>
        </w:rPr>
        <w:t xml:space="preserve"> </w:t>
      </w:r>
      <w:r w:rsidRPr="00643101">
        <w:rPr>
          <w:sz w:val="24"/>
          <w:szCs w:val="24"/>
        </w:rPr>
        <w:t>menyatakan bahwa setiap orang yang mendalilkan bahwa ia mempunyai suatu hak atau guna meneguhkan haknya sendiri maupun membantah hak orang lain, menunjuk pada suatu peristiwa, diwajibkan membuktikan adanya hak atau peristiwa tersebut. Ketentuan seperti itu juga terdapat dalam pasal 163 HIR /283 Rbg. Jadi</w:t>
      </w:r>
      <w:r w:rsidR="00431534" w:rsidRPr="00643101">
        <w:rPr>
          <w:sz w:val="24"/>
          <w:szCs w:val="24"/>
        </w:rPr>
        <w:t>,</w:t>
      </w:r>
      <w:r w:rsidRPr="00643101">
        <w:rPr>
          <w:sz w:val="24"/>
          <w:szCs w:val="24"/>
        </w:rPr>
        <w:t xml:space="preserve"> berdasarkan ketentua</w:t>
      </w:r>
      <w:r w:rsidR="00431534" w:rsidRPr="00643101">
        <w:rPr>
          <w:sz w:val="24"/>
          <w:szCs w:val="24"/>
        </w:rPr>
        <w:t>n</w:t>
      </w:r>
      <w:r w:rsidRPr="00643101">
        <w:rPr>
          <w:sz w:val="24"/>
          <w:szCs w:val="24"/>
        </w:rPr>
        <w:t xml:space="preserve">-ketentuan diatas dapat diambil suatu </w:t>
      </w:r>
      <w:r w:rsidR="00431534" w:rsidRPr="00643101">
        <w:rPr>
          <w:sz w:val="24"/>
          <w:szCs w:val="24"/>
        </w:rPr>
        <w:t>ajaran tentang pembuktian yaitu</w:t>
      </w:r>
      <w:r w:rsidRPr="00643101">
        <w:rPr>
          <w:sz w:val="24"/>
          <w:szCs w:val="24"/>
        </w:rPr>
        <w:t>: Penggugat wajib membuktikan dalil-dalil gugatnya, sedangkan Tergugat wajib pula membuktikan dalil-dalil bantahan atau sanggahannya.</w:t>
      </w:r>
    </w:p>
    <w:p w14:paraId="00000003" w14:textId="4320D58A" w:rsidR="00411207" w:rsidRPr="00643101" w:rsidRDefault="00197487" w:rsidP="001962C7">
      <w:pPr>
        <w:spacing w:line="360" w:lineRule="auto"/>
        <w:ind w:left="709" w:firstLine="720"/>
        <w:jc w:val="both"/>
        <w:rPr>
          <w:sz w:val="24"/>
          <w:szCs w:val="24"/>
        </w:rPr>
      </w:pPr>
      <w:r w:rsidRPr="00643101">
        <w:rPr>
          <w:sz w:val="24"/>
          <w:szCs w:val="24"/>
        </w:rPr>
        <w:t>Alat bukti tuli</w:t>
      </w:r>
      <w:r w:rsidR="00103DC1" w:rsidRPr="00643101">
        <w:rPr>
          <w:sz w:val="24"/>
          <w:szCs w:val="24"/>
        </w:rPr>
        <w:t xml:space="preserve">san adalah suatu istilah yang </w:t>
      </w:r>
      <w:r w:rsidR="00296865" w:rsidRPr="00643101">
        <w:rPr>
          <w:sz w:val="24"/>
          <w:szCs w:val="24"/>
        </w:rPr>
        <w:t>juga disebut</w:t>
      </w:r>
      <w:r w:rsidRPr="00643101">
        <w:rPr>
          <w:sz w:val="24"/>
          <w:szCs w:val="24"/>
        </w:rPr>
        <w:t xml:space="preserve"> dengan alat bukti surat. Dalam Pasal 1866 KUH Perdata alat bukti tulisan atau</w:t>
      </w:r>
      <w:r w:rsidR="00103DC1" w:rsidRPr="00643101">
        <w:rPr>
          <w:sz w:val="24"/>
          <w:szCs w:val="24"/>
        </w:rPr>
        <w:t xml:space="preserve"> </w:t>
      </w:r>
      <w:r w:rsidRPr="00643101">
        <w:rPr>
          <w:sz w:val="24"/>
          <w:szCs w:val="24"/>
        </w:rPr>
        <w:t>surat disebutkan dalam urutan pertama di antara alat-alat bukti menurut hukum acara perdata</w:t>
      </w:r>
      <w:r w:rsidR="00103DC1" w:rsidRPr="00643101">
        <w:rPr>
          <w:sz w:val="24"/>
          <w:szCs w:val="24"/>
        </w:rPr>
        <w:t xml:space="preserve">. </w:t>
      </w:r>
      <w:r w:rsidRPr="00643101">
        <w:rPr>
          <w:sz w:val="24"/>
          <w:szCs w:val="24"/>
        </w:rPr>
        <w:t>Kenapa alat bukti tulisan atau surat dicantumkan sebagai alat bukti pada urutan pertama? Setidaknya ini dapat dipahami bahwa alat bukti tulisan atau surat adalah merupakan alat bukti yang umum dan lazim dijadikan sebagai alat bukti apalagi bukti di sidang pengadilan dibandingkan</w:t>
      </w:r>
      <w:r w:rsidR="00296865" w:rsidRPr="00643101">
        <w:rPr>
          <w:sz w:val="24"/>
          <w:szCs w:val="24"/>
        </w:rPr>
        <w:t xml:space="preserve"> </w:t>
      </w:r>
      <w:r w:rsidRPr="00643101">
        <w:rPr>
          <w:sz w:val="24"/>
          <w:szCs w:val="24"/>
        </w:rPr>
        <w:t>dengan</w:t>
      </w:r>
      <w:r w:rsidR="00296865" w:rsidRPr="00643101">
        <w:rPr>
          <w:sz w:val="24"/>
          <w:szCs w:val="24"/>
        </w:rPr>
        <w:t xml:space="preserve"> </w:t>
      </w:r>
      <w:r w:rsidRPr="00643101">
        <w:rPr>
          <w:sz w:val="24"/>
          <w:szCs w:val="24"/>
        </w:rPr>
        <w:t xml:space="preserve">alat bukti yang lainnya. </w:t>
      </w:r>
      <w:r w:rsidR="00296865" w:rsidRPr="00643101">
        <w:rPr>
          <w:sz w:val="24"/>
          <w:szCs w:val="24"/>
        </w:rPr>
        <w:t>Apalagi mengingat bahwa di masa</w:t>
      </w:r>
      <w:r w:rsidRPr="00643101">
        <w:rPr>
          <w:sz w:val="24"/>
          <w:szCs w:val="24"/>
        </w:rPr>
        <w:t xml:space="preserve"> sekarang ini semua tindakan hukum selalu dicatat atau dituliskan dalam berbagai bentuk surat yang memang sengaja disiapkan sebagai alat bukti pada masa yang </w:t>
      </w:r>
      <w:r w:rsidR="00296865" w:rsidRPr="00643101">
        <w:rPr>
          <w:sz w:val="24"/>
          <w:szCs w:val="24"/>
        </w:rPr>
        <w:t xml:space="preserve">akan </w:t>
      </w:r>
      <w:r w:rsidRPr="00643101">
        <w:rPr>
          <w:sz w:val="24"/>
          <w:szCs w:val="24"/>
        </w:rPr>
        <w:t xml:space="preserve">datang. </w:t>
      </w:r>
    </w:p>
    <w:p w14:paraId="75024B68" w14:textId="63D337F1" w:rsidR="00744A2E" w:rsidRPr="00643101" w:rsidRDefault="00744A2E" w:rsidP="001962C7">
      <w:pPr>
        <w:spacing w:line="360" w:lineRule="auto"/>
        <w:ind w:left="709" w:firstLine="720"/>
        <w:jc w:val="both"/>
        <w:rPr>
          <w:sz w:val="24"/>
          <w:szCs w:val="24"/>
        </w:rPr>
      </w:pPr>
      <w:r w:rsidRPr="00643101">
        <w:rPr>
          <w:sz w:val="24"/>
          <w:szCs w:val="24"/>
        </w:rPr>
        <w:t xml:space="preserve">Kadangkala </w:t>
      </w:r>
      <w:r w:rsidR="00296865" w:rsidRPr="00643101">
        <w:rPr>
          <w:sz w:val="24"/>
          <w:szCs w:val="24"/>
        </w:rPr>
        <w:t>apa</w:t>
      </w:r>
      <w:r w:rsidRPr="00643101">
        <w:rPr>
          <w:sz w:val="24"/>
          <w:szCs w:val="24"/>
        </w:rPr>
        <w:t xml:space="preserve">bila kita kurang teliti memahami serba-serbi tentang alat bukti tertulis ini, kita bisa keliru di dalam memberi nilai kepada alat bukti tersebut, apakah termasuk akta otentik atau akta di bawah tangan, atau termasuk kelompok surat lainnya, misalnya ada surat yang dibuat oleh seorang pemuka adat sebagai kesepakatan adat setempat, atau surat yang dibuat oleh ulama setempat tentang hasil musyawarah yang dilakukan antara kelompok dalam masyarakat atau yang dibuat oleh kepala Dusun atau Kepala Desa, apakah </w:t>
      </w:r>
      <w:r w:rsidR="00296865" w:rsidRPr="00643101">
        <w:rPr>
          <w:sz w:val="24"/>
          <w:szCs w:val="24"/>
        </w:rPr>
        <w:t>tulisan atau surat</w:t>
      </w:r>
      <w:r w:rsidRPr="00643101">
        <w:rPr>
          <w:sz w:val="24"/>
          <w:szCs w:val="24"/>
        </w:rPr>
        <w:t xml:space="preserve"> tersebut termasuk kelompok akta otentik, atau akta di bawah tangan atau kelompok akta lai</w:t>
      </w:r>
      <w:r w:rsidR="00296865" w:rsidRPr="00643101">
        <w:rPr>
          <w:sz w:val="24"/>
          <w:szCs w:val="24"/>
        </w:rPr>
        <w:t xml:space="preserve">nnya? Untuk menjawab </w:t>
      </w:r>
      <w:r w:rsidR="00296865" w:rsidRPr="00643101">
        <w:rPr>
          <w:sz w:val="24"/>
          <w:szCs w:val="24"/>
        </w:rPr>
        <w:lastRenderedPageBreak/>
        <w:t>pertanyaan</w:t>
      </w:r>
      <w:r w:rsidRPr="00643101">
        <w:rPr>
          <w:sz w:val="24"/>
          <w:szCs w:val="24"/>
        </w:rPr>
        <w:t xml:space="preserve"> di atas maka penulis mencoba menjelaskannya dalam tulisan yang tidak terlalu panjang ini. </w:t>
      </w:r>
    </w:p>
    <w:p w14:paraId="7757B974" w14:textId="6C8BEA9D" w:rsidR="00744A2E" w:rsidRPr="00643101" w:rsidRDefault="00744A2E" w:rsidP="001962C7">
      <w:pPr>
        <w:pStyle w:val="Heading1"/>
        <w:numPr>
          <w:ilvl w:val="0"/>
          <w:numId w:val="5"/>
        </w:numPr>
        <w:spacing w:before="240" w:line="360" w:lineRule="auto"/>
        <w:ind w:left="709" w:hanging="349"/>
        <w:rPr>
          <w:b/>
          <w:sz w:val="24"/>
        </w:rPr>
      </w:pPr>
      <w:r w:rsidRPr="00643101">
        <w:rPr>
          <w:b/>
          <w:sz w:val="24"/>
        </w:rPr>
        <w:t>Pembahasan</w:t>
      </w:r>
    </w:p>
    <w:p w14:paraId="00000005" w14:textId="6DFB89FE" w:rsidR="00411207" w:rsidRPr="00643101" w:rsidRDefault="00197487" w:rsidP="001962C7">
      <w:pPr>
        <w:spacing w:line="360" w:lineRule="auto"/>
        <w:ind w:left="709" w:firstLine="720"/>
        <w:jc w:val="both"/>
        <w:rPr>
          <w:sz w:val="24"/>
          <w:szCs w:val="24"/>
        </w:rPr>
      </w:pPr>
      <w:r w:rsidRPr="00643101">
        <w:rPr>
          <w:sz w:val="24"/>
          <w:szCs w:val="24"/>
        </w:rPr>
        <w:t>Untuk lebih memahami substansi dari alat bukti tulisan atau</w:t>
      </w:r>
      <w:r w:rsidR="00103DC1" w:rsidRPr="00643101">
        <w:rPr>
          <w:sz w:val="24"/>
          <w:szCs w:val="24"/>
        </w:rPr>
        <w:t xml:space="preserve"> </w:t>
      </w:r>
      <w:r w:rsidRPr="00643101">
        <w:rPr>
          <w:sz w:val="24"/>
          <w:szCs w:val="24"/>
        </w:rPr>
        <w:t>surat maka terlebih dahulu akan diuraikan apa pengertian tulisan atau surat tersebut?</w:t>
      </w:r>
    </w:p>
    <w:p w14:paraId="00000006" w14:textId="66BBCE7A" w:rsidR="00411207" w:rsidRPr="00643101" w:rsidRDefault="00197487" w:rsidP="001962C7">
      <w:pPr>
        <w:spacing w:line="360" w:lineRule="auto"/>
        <w:ind w:left="709" w:firstLine="709"/>
        <w:jc w:val="both"/>
        <w:rPr>
          <w:sz w:val="24"/>
          <w:szCs w:val="24"/>
        </w:rPr>
      </w:pPr>
      <w:r w:rsidRPr="00643101">
        <w:rPr>
          <w:sz w:val="24"/>
          <w:szCs w:val="24"/>
        </w:rPr>
        <w:t>Menurut M. Yahya Harahap. S. H dalam bukunya yang berjudul Hukum Acara Perdata tentang Gugatan, Persidangan, Penyitaan, Pembuktian dan Putusan Pengadilan  halaman 559</w:t>
      </w:r>
      <w:r w:rsidR="00744A2E" w:rsidRPr="00643101">
        <w:rPr>
          <w:rStyle w:val="FootnoteReference"/>
          <w:sz w:val="24"/>
          <w:szCs w:val="24"/>
        </w:rPr>
        <w:footnoteReference w:id="1"/>
      </w:r>
      <w:r w:rsidRPr="00643101">
        <w:rPr>
          <w:sz w:val="24"/>
          <w:szCs w:val="24"/>
        </w:rPr>
        <w:t xml:space="preserve"> dijelaskan sebagai berikut "Pengertian tulisan dapat dilihat dari berbagai segi sebagai berikut, pertama dari segi yuridis. Dari segi yuridis k</w:t>
      </w:r>
      <w:r w:rsidR="00296865" w:rsidRPr="00643101">
        <w:rPr>
          <w:sz w:val="24"/>
          <w:szCs w:val="24"/>
        </w:rPr>
        <w:t>a</w:t>
      </w:r>
      <w:r w:rsidRPr="00643101">
        <w:rPr>
          <w:sz w:val="24"/>
          <w:szCs w:val="24"/>
        </w:rPr>
        <w:t>itannya alat bukti tulisan dapat dijelaskan dari berbagai aspek:</w:t>
      </w:r>
    </w:p>
    <w:p w14:paraId="00000007" w14:textId="3ADA4DD9" w:rsidR="00411207" w:rsidRPr="00643101" w:rsidRDefault="00103DC1" w:rsidP="001962C7">
      <w:pPr>
        <w:numPr>
          <w:ilvl w:val="0"/>
          <w:numId w:val="2"/>
        </w:numPr>
        <w:spacing w:line="360" w:lineRule="auto"/>
        <w:ind w:left="1134" w:hanging="425"/>
        <w:jc w:val="both"/>
        <w:rPr>
          <w:sz w:val="24"/>
          <w:szCs w:val="24"/>
        </w:rPr>
      </w:pPr>
      <w:r w:rsidRPr="00643101">
        <w:rPr>
          <w:sz w:val="24"/>
          <w:szCs w:val="24"/>
        </w:rPr>
        <w:t>Bukti tulisan memuat t</w:t>
      </w:r>
      <w:r w:rsidR="00197487" w:rsidRPr="00643101">
        <w:rPr>
          <w:sz w:val="24"/>
          <w:szCs w:val="24"/>
        </w:rPr>
        <w:t>anda bacaan berupa aksara dalam berbagai aksara yang dikenal dalam masyarakat. Baik aksara Melayu, aksara Arab, aksara Latin maupun</w:t>
      </w:r>
      <w:r w:rsidR="00296865" w:rsidRPr="00643101">
        <w:rPr>
          <w:sz w:val="24"/>
          <w:szCs w:val="24"/>
        </w:rPr>
        <w:t xml:space="preserve"> </w:t>
      </w:r>
      <w:r w:rsidR="00197487" w:rsidRPr="00643101">
        <w:rPr>
          <w:sz w:val="24"/>
          <w:szCs w:val="24"/>
        </w:rPr>
        <w:t>aksara daerah seperti aksara Bugis, Jawa dan lain-lainya.</w:t>
      </w:r>
      <w:r w:rsidR="00DE66A9" w:rsidRPr="00643101">
        <w:rPr>
          <w:sz w:val="24"/>
          <w:szCs w:val="24"/>
        </w:rPr>
        <w:t xml:space="preserve"> Disini tidak ada perbedaan tentang aksara yang digunakan sepanjang aksara tersebut bisa dipahami baik langsung oleh pihak-pihak maupun melalui juru terjemah, lagi pula aksara itu hanyalah lambang dari kata yang menggambar kehendak atau keinginan dari para penulisnya.</w:t>
      </w:r>
    </w:p>
    <w:p w14:paraId="00000008" w14:textId="5E54324A" w:rsidR="00411207" w:rsidRPr="00643101" w:rsidRDefault="00197487" w:rsidP="001962C7">
      <w:pPr>
        <w:numPr>
          <w:ilvl w:val="0"/>
          <w:numId w:val="2"/>
        </w:numPr>
        <w:spacing w:line="360" w:lineRule="auto"/>
        <w:ind w:left="1134" w:hanging="425"/>
        <w:jc w:val="both"/>
        <w:rPr>
          <w:sz w:val="24"/>
          <w:szCs w:val="24"/>
        </w:rPr>
      </w:pPr>
      <w:r w:rsidRPr="00643101">
        <w:rPr>
          <w:sz w:val="24"/>
          <w:szCs w:val="24"/>
        </w:rPr>
        <w:t xml:space="preserve">Disusun berupa kalimat sebagai pernyataan. Agar </w:t>
      </w:r>
      <w:r w:rsidR="00103DC1" w:rsidRPr="00643101">
        <w:rPr>
          <w:sz w:val="24"/>
          <w:szCs w:val="24"/>
        </w:rPr>
        <w:t>aksara tersebut dapat memberikan</w:t>
      </w:r>
      <w:r w:rsidRPr="00643101">
        <w:rPr>
          <w:sz w:val="24"/>
          <w:szCs w:val="24"/>
        </w:rPr>
        <w:t xml:space="preserve"> suatu pengertian yang dapat dimengert</w:t>
      </w:r>
      <w:r w:rsidR="00103DC1" w:rsidRPr="00643101">
        <w:rPr>
          <w:sz w:val="24"/>
          <w:szCs w:val="24"/>
        </w:rPr>
        <w:t>i olet pihak-pihak yang membuatnya.</w:t>
      </w:r>
      <w:r w:rsidR="00DE66A9" w:rsidRPr="00643101">
        <w:rPr>
          <w:sz w:val="24"/>
          <w:szCs w:val="24"/>
        </w:rPr>
        <w:t xml:space="preserve"> Artinya kata-kata itu harus berbentuk kalimat sempurna yang mempunyai arti atau kandungan sebagai pengungkap dari keinginan dari para pembuatnya.</w:t>
      </w:r>
    </w:p>
    <w:p w14:paraId="00000009" w14:textId="6AF2E45C" w:rsidR="00411207" w:rsidRPr="00643101" w:rsidRDefault="00197487" w:rsidP="001962C7">
      <w:pPr>
        <w:numPr>
          <w:ilvl w:val="0"/>
          <w:numId w:val="2"/>
        </w:numPr>
        <w:spacing w:line="360" w:lineRule="auto"/>
        <w:ind w:left="1134" w:hanging="425"/>
        <w:jc w:val="both"/>
        <w:rPr>
          <w:sz w:val="24"/>
          <w:szCs w:val="24"/>
        </w:rPr>
      </w:pPr>
      <w:r w:rsidRPr="00643101">
        <w:rPr>
          <w:sz w:val="24"/>
          <w:szCs w:val="24"/>
        </w:rPr>
        <w:t>Dibuat dalam bahan tulisan. Pada lazimnya suatu tulisan itu dibuat pada bahan kertas namun dulu juga ada yang dubuat di atas bahan kayu, kulit atau bahan untuk menulis lainnya.</w:t>
      </w:r>
      <w:r w:rsidR="00DE66A9" w:rsidRPr="00643101">
        <w:rPr>
          <w:sz w:val="24"/>
          <w:szCs w:val="24"/>
        </w:rPr>
        <w:t xml:space="preserve"> Problemnya adalah bagaimana menghadirkan dan menyimpan bukti tulisan yang dibuat di atas kayu atau kulit binatang, meskipun kemungkinan alat bukti seperti ini di zaman sekarang sudah semakin sedikit kalau tidak kita katakan tidak ada, tapi barangkali bisa kita alih mediakan ke dalam media lain seperti foto, yang disimpan dalam file dokumen tertulis.</w:t>
      </w:r>
    </w:p>
    <w:p w14:paraId="0000000A" w14:textId="35DD6C84" w:rsidR="00411207" w:rsidRPr="00643101" w:rsidRDefault="00197487" w:rsidP="001962C7">
      <w:pPr>
        <w:numPr>
          <w:ilvl w:val="0"/>
          <w:numId w:val="2"/>
        </w:numPr>
        <w:spacing w:line="360" w:lineRule="auto"/>
        <w:ind w:left="1134" w:hanging="425"/>
        <w:jc w:val="both"/>
        <w:rPr>
          <w:sz w:val="24"/>
          <w:szCs w:val="24"/>
        </w:rPr>
      </w:pPr>
      <w:r w:rsidRPr="00643101">
        <w:rPr>
          <w:sz w:val="24"/>
          <w:szCs w:val="24"/>
        </w:rPr>
        <w:lastRenderedPageBreak/>
        <w:t>Ditandatangani oleh pihak yang membuat. Dihubungkan dengan penggunaan</w:t>
      </w:r>
      <w:r w:rsidR="00103DC1" w:rsidRPr="00643101">
        <w:rPr>
          <w:sz w:val="24"/>
          <w:szCs w:val="24"/>
        </w:rPr>
        <w:t>nya</w:t>
      </w:r>
      <w:r w:rsidRPr="00643101">
        <w:rPr>
          <w:sz w:val="24"/>
          <w:szCs w:val="24"/>
        </w:rPr>
        <w:t xml:space="preserve"> sebagai</w:t>
      </w:r>
      <w:r w:rsidR="00103DC1" w:rsidRPr="00643101">
        <w:rPr>
          <w:sz w:val="24"/>
          <w:szCs w:val="24"/>
        </w:rPr>
        <w:t xml:space="preserve"> </w:t>
      </w:r>
      <w:r w:rsidRPr="00643101">
        <w:rPr>
          <w:sz w:val="24"/>
          <w:szCs w:val="24"/>
        </w:rPr>
        <w:t xml:space="preserve">alat bukti suatu tulisan harus ditandatangani oleh pihak-pihak yang membuatnya. Hal ini ditegaskan dalam Pasal </w:t>
      </w:r>
      <w:r w:rsidR="00296865" w:rsidRPr="00643101">
        <w:rPr>
          <w:sz w:val="24"/>
          <w:szCs w:val="24"/>
        </w:rPr>
        <w:t>1869 dan Pasal 1874 KUH Perdata</w:t>
      </w:r>
      <w:r w:rsidR="004176F9" w:rsidRPr="00643101">
        <w:rPr>
          <w:rStyle w:val="FootnoteReference"/>
          <w:sz w:val="24"/>
          <w:szCs w:val="24"/>
        </w:rPr>
        <w:footnoteReference w:id="2"/>
      </w:r>
      <w:r w:rsidR="00296865" w:rsidRPr="00643101">
        <w:rPr>
          <w:sz w:val="24"/>
          <w:szCs w:val="24"/>
        </w:rPr>
        <w:t xml:space="preserve"> </w:t>
      </w:r>
      <w:r w:rsidRPr="00643101">
        <w:rPr>
          <w:sz w:val="24"/>
          <w:szCs w:val="24"/>
        </w:rPr>
        <w:t>dimana da</w:t>
      </w:r>
      <w:r w:rsidR="00103DC1" w:rsidRPr="00643101">
        <w:rPr>
          <w:sz w:val="24"/>
          <w:szCs w:val="24"/>
        </w:rPr>
        <w:t>lam kedua pasal tersebut ditegas</w:t>
      </w:r>
      <w:r w:rsidRPr="00643101">
        <w:rPr>
          <w:sz w:val="24"/>
          <w:szCs w:val="24"/>
        </w:rPr>
        <w:t xml:space="preserve">kan bahwa suatu </w:t>
      </w:r>
      <w:r w:rsidR="00103DC1" w:rsidRPr="00643101">
        <w:rPr>
          <w:sz w:val="24"/>
          <w:szCs w:val="24"/>
        </w:rPr>
        <w:t>bukti tulisan atau surat harus d</w:t>
      </w:r>
      <w:r w:rsidRPr="00643101">
        <w:rPr>
          <w:sz w:val="24"/>
          <w:szCs w:val="24"/>
        </w:rPr>
        <w:t>itandatangani oleh pihak atau pihak-pihak yang membuatnya.</w:t>
      </w:r>
      <w:r w:rsidR="00DE66A9" w:rsidRPr="00643101">
        <w:rPr>
          <w:sz w:val="24"/>
          <w:szCs w:val="24"/>
        </w:rPr>
        <w:t xml:space="preserve"> Dalam penandatanganan ini tentu juga harus kita antisipasi tentang </w:t>
      </w:r>
      <w:r w:rsidR="00296865" w:rsidRPr="00643101">
        <w:rPr>
          <w:sz w:val="24"/>
          <w:szCs w:val="24"/>
        </w:rPr>
        <w:t>c</w:t>
      </w:r>
      <w:r w:rsidR="00DE66A9" w:rsidRPr="00643101">
        <w:rPr>
          <w:sz w:val="24"/>
          <w:szCs w:val="24"/>
        </w:rPr>
        <w:t>ap jempol yang berlaku bagi orang yang tidak tau baca tulis dengan persyaratan-persyaratannya, misalnya harus dilegalisir atau diketahui oleh pejabat yang berwenang untuk itu.</w:t>
      </w:r>
    </w:p>
    <w:p w14:paraId="0000000C" w14:textId="716D05AE" w:rsidR="00411207" w:rsidRPr="00643101" w:rsidRDefault="00197487" w:rsidP="001962C7">
      <w:pPr>
        <w:numPr>
          <w:ilvl w:val="0"/>
          <w:numId w:val="2"/>
        </w:numPr>
        <w:spacing w:line="360" w:lineRule="auto"/>
        <w:ind w:left="1134" w:hanging="425"/>
        <w:jc w:val="both"/>
        <w:rPr>
          <w:sz w:val="24"/>
          <w:szCs w:val="24"/>
        </w:rPr>
      </w:pPr>
      <w:r w:rsidRPr="00643101">
        <w:rPr>
          <w:sz w:val="24"/>
          <w:szCs w:val="24"/>
        </w:rPr>
        <w:t>Untuk kesempurnaan suatu bukti tulisa</w:t>
      </w:r>
      <w:r w:rsidR="00103DC1" w:rsidRPr="00643101">
        <w:rPr>
          <w:sz w:val="24"/>
          <w:szCs w:val="24"/>
        </w:rPr>
        <w:t>n disamping adanya</w:t>
      </w:r>
      <w:r w:rsidR="00DE66A9" w:rsidRPr="00643101">
        <w:rPr>
          <w:sz w:val="24"/>
          <w:szCs w:val="24"/>
        </w:rPr>
        <w:t xml:space="preserve"> tanda</w:t>
      </w:r>
      <w:r w:rsidR="00103DC1" w:rsidRPr="00643101">
        <w:rPr>
          <w:sz w:val="24"/>
          <w:szCs w:val="24"/>
        </w:rPr>
        <w:t xml:space="preserve"> tangan para p</w:t>
      </w:r>
      <w:r w:rsidRPr="00643101">
        <w:rPr>
          <w:sz w:val="24"/>
          <w:szCs w:val="24"/>
        </w:rPr>
        <w:t>ihak yang membuatnya juga harus dicamtumkan tanggal hari pembuatannya.</w:t>
      </w:r>
      <w:r w:rsidR="00DE66A9" w:rsidRPr="00643101">
        <w:rPr>
          <w:sz w:val="24"/>
          <w:szCs w:val="24"/>
        </w:rPr>
        <w:t xml:space="preserve"> Mengingat pada masa-masa dahulu banyak juga orang tua-tua di pedesaan yang menggunakan penanggalan Hijriyah atau penanggalan Jawa, maka oleh karena itu kita juga harus mengakomodirnya dalam bentuk penggunaan penanggalan bermacam-macam yang berlaku di tengah-tengah masyarakat.</w:t>
      </w:r>
    </w:p>
    <w:p w14:paraId="0000000D" w14:textId="714BB9B8" w:rsidR="00411207" w:rsidRPr="00643101" w:rsidRDefault="00197487" w:rsidP="001962C7">
      <w:pPr>
        <w:spacing w:line="360" w:lineRule="auto"/>
        <w:ind w:left="709" w:firstLine="709"/>
        <w:jc w:val="both"/>
        <w:rPr>
          <w:sz w:val="24"/>
          <w:szCs w:val="24"/>
        </w:rPr>
      </w:pPr>
      <w:r w:rsidRPr="00643101">
        <w:rPr>
          <w:sz w:val="24"/>
          <w:szCs w:val="24"/>
        </w:rPr>
        <w:t>Berdasarkan pengertian-pengertiannya sebagaimana di atas maka dapat disimpulkan bahwa foto dan peta tidak bisa disebut sebagai bukti tulisan atau bukti surat</w:t>
      </w:r>
      <w:r w:rsidR="002D0107" w:rsidRPr="00643101">
        <w:rPr>
          <w:sz w:val="24"/>
          <w:szCs w:val="24"/>
        </w:rPr>
        <w:t>, k</w:t>
      </w:r>
      <w:r w:rsidR="00103DC1" w:rsidRPr="00643101">
        <w:rPr>
          <w:sz w:val="24"/>
          <w:szCs w:val="24"/>
        </w:rPr>
        <w:t>arena tidak memenuhi kriteria sebagai suatu tulisan atau surat.</w:t>
      </w:r>
      <w:r w:rsidR="002D0107" w:rsidRPr="00643101">
        <w:rPr>
          <w:sz w:val="24"/>
          <w:szCs w:val="24"/>
        </w:rPr>
        <w:t xml:space="preserve"> Dimana foto dan Peta tidak menggunakan aksara, dan kalimat-kalimat sebagaimana yang diuraikan di atas.</w:t>
      </w:r>
    </w:p>
    <w:p w14:paraId="0D56B642" w14:textId="5B49D13E" w:rsidR="002D0107" w:rsidRPr="00643101" w:rsidRDefault="002D0107" w:rsidP="001962C7">
      <w:pPr>
        <w:spacing w:line="360" w:lineRule="auto"/>
        <w:ind w:left="709" w:firstLine="709"/>
        <w:jc w:val="both"/>
        <w:rPr>
          <w:sz w:val="24"/>
          <w:szCs w:val="24"/>
        </w:rPr>
      </w:pPr>
      <w:r w:rsidRPr="00643101">
        <w:rPr>
          <w:sz w:val="24"/>
          <w:szCs w:val="24"/>
        </w:rPr>
        <w:t>Memahami dari pengerti</w:t>
      </w:r>
      <w:bookmarkStart w:id="0" w:name="_GoBack"/>
      <w:bookmarkEnd w:id="0"/>
      <w:r w:rsidRPr="00643101">
        <w:rPr>
          <w:sz w:val="24"/>
          <w:szCs w:val="24"/>
        </w:rPr>
        <w:t xml:space="preserve">an bukti tulisan di atas, maka dapat dipahami bahwa untuk </w:t>
      </w:r>
      <w:r w:rsidRPr="00DD778A">
        <w:rPr>
          <w:sz w:val="24"/>
          <w:szCs w:val="24"/>
        </w:rPr>
        <w:t>pengerti</w:t>
      </w:r>
      <w:r w:rsidR="00DD778A" w:rsidRPr="00DD778A">
        <w:rPr>
          <w:sz w:val="24"/>
          <w:szCs w:val="24"/>
        </w:rPr>
        <w:t>an</w:t>
      </w:r>
      <w:r w:rsidRPr="00643101">
        <w:rPr>
          <w:sz w:val="24"/>
          <w:szCs w:val="24"/>
        </w:rPr>
        <w:t xml:space="preserve"> bukti tulisan bisa dipersamakan dengan pengertian bukti surat dan bukti akta.</w:t>
      </w:r>
    </w:p>
    <w:p w14:paraId="38F2F5BE" w14:textId="07DE9553" w:rsidR="002D0107" w:rsidRPr="00643101" w:rsidRDefault="002D0107" w:rsidP="001962C7">
      <w:pPr>
        <w:pStyle w:val="Heading1"/>
        <w:numPr>
          <w:ilvl w:val="0"/>
          <w:numId w:val="5"/>
        </w:numPr>
        <w:spacing w:before="240" w:line="360" w:lineRule="auto"/>
        <w:ind w:left="709" w:hanging="425"/>
        <w:rPr>
          <w:b/>
          <w:sz w:val="24"/>
        </w:rPr>
      </w:pPr>
      <w:r w:rsidRPr="00643101">
        <w:rPr>
          <w:b/>
          <w:sz w:val="24"/>
        </w:rPr>
        <w:t>Macam-macam Bukti Tulisan</w:t>
      </w:r>
    </w:p>
    <w:p w14:paraId="6CA7E389" w14:textId="7046BD44" w:rsidR="002D0107" w:rsidRPr="00643101" w:rsidRDefault="002D0107" w:rsidP="001962C7">
      <w:pPr>
        <w:pStyle w:val="ListParagraph"/>
        <w:spacing w:line="360" w:lineRule="auto"/>
        <w:ind w:left="709" w:firstLine="709"/>
        <w:jc w:val="both"/>
        <w:rPr>
          <w:sz w:val="24"/>
          <w:szCs w:val="24"/>
        </w:rPr>
      </w:pPr>
      <w:r w:rsidRPr="00643101">
        <w:rPr>
          <w:sz w:val="24"/>
          <w:szCs w:val="24"/>
        </w:rPr>
        <w:t xml:space="preserve">Di dalam kenyataan sehari-hari, bukti tulisan itu dibuat oleh berbagai pihak, baik oleh pejabat yang berwenang seperti  Akta jual Beli tanah yang dibuat oleh PPAT, atau Akta perjanjian yang dibuat oleh atau di hadapan Notaris, atau Sertifikat Tanah yang dibuat oleh Pejabat yang berwenang di Badan Pertanahan Nasional atau </w:t>
      </w:r>
      <w:r w:rsidR="00D6689B" w:rsidRPr="00643101">
        <w:rPr>
          <w:sz w:val="24"/>
          <w:szCs w:val="24"/>
        </w:rPr>
        <w:t xml:space="preserve">Buku Nikah yang dibuat oleh Pejabat </w:t>
      </w:r>
      <w:r w:rsidR="00D6689B" w:rsidRPr="00643101">
        <w:rPr>
          <w:sz w:val="24"/>
          <w:szCs w:val="24"/>
        </w:rPr>
        <w:lastRenderedPageBreak/>
        <w:t xml:space="preserve">Pencatat Nikah atau Akta Ikrar Wakaf yang dibuat </w:t>
      </w:r>
      <w:r w:rsidR="004176F9" w:rsidRPr="00643101">
        <w:rPr>
          <w:sz w:val="24"/>
          <w:szCs w:val="24"/>
        </w:rPr>
        <w:t>Pejabat Pembuat Akta Ikrar Wakaf</w:t>
      </w:r>
      <w:r w:rsidR="00D6689B" w:rsidRPr="00643101">
        <w:rPr>
          <w:sz w:val="24"/>
          <w:szCs w:val="24"/>
        </w:rPr>
        <w:t xml:space="preserve"> dan sejumlah akta lainnya yang dibuat oleh Pejabat yang diberi kewenangan untuk itu oleh peraturan perundang-undangan yang berlaku, </w:t>
      </w:r>
      <w:r w:rsidRPr="00643101">
        <w:rPr>
          <w:sz w:val="24"/>
          <w:szCs w:val="24"/>
        </w:rPr>
        <w:t>dan</w:t>
      </w:r>
      <w:r w:rsidR="00D6689B" w:rsidRPr="00643101">
        <w:rPr>
          <w:sz w:val="24"/>
          <w:szCs w:val="24"/>
        </w:rPr>
        <w:t xml:space="preserve"> akta-akta  tersebut</w:t>
      </w:r>
      <w:r w:rsidRPr="00643101">
        <w:rPr>
          <w:sz w:val="24"/>
          <w:szCs w:val="24"/>
        </w:rPr>
        <w:t xml:space="preserve"> digunakan oleh masyarakat kita</w:t>
      </w:r>
      <w:r w:rsidR="00D6689B" w:rsidRPr="00643101">
        <w:rPr>
          <w:sz w:val="24"/>
          <w:szCs w:val="24"/>
        </w:rPr>
        <w:t xml:space="preserve"> untuk kepentingan yang bermacam-macam, bahkan ada juga akta atau perjanjian yang dibuat oleh para pihak secara di bawah tangan tidak oleh atau di hadapan Pejabat yang berwenang tadi, dan bahkan ada kwitansi yang hanya ditandatangani oleh salah satu pihak saja dan banyak lagi bentuk bukti tulisan yang berlaku dan digunakan di tengah-tengah masyarakat.</w:t>
      </w:r>
    </w:p>
    <w:p w14:paraId="335836B5" w14:textId="2EB4BD40" w:rsidR="00D6689B" w:rsidRPr="00643101" w:rsidRDefault="00D6689B" w:rsidP="001962C7">
      <w:pPr>
        <w:pStyle w:val="ListParagraph"/>
        <w:spacing w:line="360" w:lineRule="auto"/>
        <w:ind w:left="709" w:firstLine="709"/>
        <w:jc w:val="both"/>
        <w:rPr>
          <w:sz w:val="24"/>
          <w:szCs w:val="24"/>
        </w:rPr>
      </w:pPr>
      <w:r w:rsidRPr="00643101">
        <w:rPr>
          <w:sz w:val="24"/>
          <w:szCs w:val="24"/>
        </w:rPr>
        <w:t>Tentu saja antara satu jenis akta dengan jenis akta lainnya, memiliki nilai pembuktian dan kekuatan pembuktian yang berbeda-beda antara satu sama lain, oleh karena itu berikut ini akan dijelas perbendaan nilai bukti dan kekuatan pembukti yang dimiliki oleh masing-masing akta atau surat atau bukti tulisan tersebut.</w:t>
      </w:r>
    </w:p>
    <w:p w14:paraId="0000000E" w14:textId="13390593" w:rsidR="00411207" w:rsidRPr="00643101" w:rsidRDefault="00A442C0" w:rsidP="005B5257">
      <w:pPr>
        <w:pStyle w:val="ListParagraph"/>
        <w:numPr>
          <w:ilvl w:val="3"/>
          <w:numId w:val="2"/>
        </w:numPr>
        <w:spacing w:line="360" w:lineRule="auto"/>
        <w:ind w:left="993" w:hanging="284"/>
        <w:rPr>
          <w:sz w:val="24"/>
          <w:szCs w:val="24"/>
        </w:rPr>
      </w:pPr>
      <w:r w:rsidRPr="00643101">
        <w:rPr>
          <w:sz w:val="24"/>
          <w:szCs w:val="24"/>
        </w:rPr>
        <w:t>Akta Otentik.</w:t>
      </w:r>
    </w:p>
    <w:p w14:paraId="0D97842A" w14:textId="42BC68A5" w:rsidR="00A442C0" w:rsidRPr="00643101" w:rsidRDefault="00A442C0" w:rsidP="00A24F3F">
      <w:pPr>
        <w:pStyle w:val="ListParagraph"/>
        <w:spacing w:line="360" w:lineRule="auto"/>
        <w:ind w:left="993" w:firstLine="447"/>
        <w:jc w:val="both"/>
        <w:rPr>
          <w:sz w:val="24"/>
          <w:szCs w:val="24"/>
        </w:rPr>
      </w:pPr>
      <w:r w:rsidRPr="00643101">
        <w:rPr>
          <w:sz w:val="24"/>
          <w:szCs w:val="24"/>
        </w:rPr>
        <w:t xml:space="preserve">Akta otentik adalah </w:t>
      </w:r>
      <w:r w:rsidR="00240BF8" w:rsidRPr="00643101">
        <w:rPr>
          <w:sz w:val="24"/>
          <w:szCs w:val="24"/>
        </w:rPr>
        <w:t>akta yang dibuat oleh atau di hadapan pejabat umum yang ditentukan oleh peraturan perundang-undangan,</w:t>
      </w:r>
      <w:r w:rsidR="00E31CE3" w:rsidRPr="00643101">
        <w:rPr>
          <w:sz w:val="24"/>
          <w:szCs w:val="24"/>
        </w:rPr>
        <w:t xml:space="preserve"> </w:t>
      </w:r>
      <w:r w:rsidR="00240BF8" w:rsidRPr="00643101">
        <w:rPr>
          <w:sz w:val="24"/>
          <w:szCs w:val="24"/>
        </w:rPr>
        <w:t>dan dalam bentuk yang ditentukan oleh peraturan perudang-undangan.</w:t>
      </w:r>
    </w:p>
    <w:p w14:paraId="08EED5C6" w14:textId="16C2E1EA" w:rsidR="00791AD0" w:rsidRPr="00643101" w:rsidRDefault="00791AD0" w:rsidP="00A24F3F">
      <w:pPr>
        <w:pStyle w:val="BodyText"/>
        <w:spacing w:line="360" w:lineRule="auto"/>
        <w:ind w:left="993" w:firstLine="447"/>
        <w:rPr>
          <w:sz w:val="24"/>
          <w:szCs w:val="24"/>
        </w:rPr>
      </w:pPr>
      <w:r w:rsidRPr="00643101">
        <w:rPr>
          <w:w w:val="105"/>
          <w:sz w:val="24"/>
          <w:szCs w:val="24"/>
        </w:rPr>
        <w:t>Untuk lebih jelasnya mengenai akta otentik ini mari kita lihat langsung teks lengkapnya di dalam Pasal 285 Rbg.</w:t>
      </w:r>
      <w:r w:rsidR="005B5257" w:rsidRPr="00643101">
        <w:rPr>
          <w:w w:val="105"/>
          <w:sz w:val="24"/>
          <w:szCs w:val="24"/>
        </w:rPr>
        <w:t>”</w:t>
      </w:r>
      <w:r w:rsidRPr="00643101">
        <w:rPr>
          <w:w w:val="105"/>
          <w:sz w:val="24"/>
          <w:szCs w:val="24"/>
        </w:rPr>
        <w:t>Sebuah akta otentik, yaitu yang dibuat dengan bentuk yang sesuai dengan undang-undang oleh atau di hadapan pejabat umum yang berwenang di tempat akta.itu dibuat, merupakan bukti lengkap antara para pihak serta keturunannya dan mereka yang mendapatkan hak tentang apa yang dimuat di dalamnya dan bahkan tentang suatu pernyataan belaka; hal terakhir ini sepanjang pernyataan itu ada hubungan langsung dengan apa yang menjadi pokok akta itu”. (KUHperd. 1868, 1870 dst.; KUHp 380; IR. 165.)</w:t>
      </w:r>
    </w:p>
    <w:p w14:paraId="54F1A5A2" w14:textId="7DAAF2FB" w:rsidR="00240BF8" w:rsidRPr="00643101" w:rsidRDefault="00240BF8" w:rsidP="00A24F3F">
      <w:pPr>
        <w:pStyle w:val="ListParagraph"/>
        <w:spacing w:line="360" w:lineRule="auto"/>
        <w:ind w:left="993" w:firstLine="447"/>
        <w:jc w:val="both"/>
        <w:rPr>
          <w:rFonts w:eastAsia="Times New Roman"/>
          <w:sz w:val="24"/>
          <w:szCs w:val="24"/>
          <w:lang w:val="en-GB"/>
        </w:rPr>
      </w:pPr>
      <w:r w:rsidRPr="00643101">
        <w:rPr>
          <w:sz w:val="24"/>
          <w:szCs w:val="24"/>
        </w:rPr>
        <w:t xml:space="preserve">Ada dua kriteria dari suatu akta otentik, yang pertama akta otentik itu dibuat oleh Pejabat </w:t>
      </w:r>
      <w:r w:rsidR="00791AD0" w:rsidRPr="00643101">
        <w:rPr>
          <w:sz w:val="24"/>
          <w:szCs w:val="24"/>
        </w:rPr>
        <w:t xml:space="preserve">Umum </w:t>
      </w:r>
      <w:r w:rsidRPr="00643101">
        <w:rPr>
          <w:sz w:val="24"/>
          <w:szCs w:val="24"/>
        </w:rPr>
        <w:t>yang berwenang atau dibuat</w:t>
      </w:r>
      <w:r w:rsidR="00D35B48" w:rsidRPr="00643101">
        <w:rPr>
          <w:sz w:val="24"/>
          <w:szCs w:val="24"/>
        </w:rPr>
        <w:t xml:space="preserve"> </w:t>
      </w:r>
      <w:r w:rsidRPr="00643101">
        <w:rPr>
          <w:sz w:val="24"/>
          <w:szCs w:val="24"/>
        </w:rPr>
        <w:t xml:space="preserve">di hadapan pejabat yang berwenang. Kriteria kedua adalah akta otentik dibuat sesuai bentuk atau format yang sudah ditentukan oleh peraturan perundang-undangan. Sebagai suatu contoh saja dari akta otentik adalah Putusan Hakim. Putusan Hakim adalah termasuk akta otentik karena dibuat oleh Pejabat </w:t>
      </w:r>
      <w:r w:rsidRPr="00643101">
        <w:rPr>
          <w:sz w:val="24"/>
          <w:szCs w:val="24"/>
        </w:rPr>
        <w:lastRenderedPageBreak/>
        <w:t>yang berwenang beredasarkan peraturan perundang-undangan, dalam hal ini Haki</w:t>
      </w:r>
      <w:r w:rsidR="004176F9" w:rsidRPr="00643101">
        <w:rPr>
          <w:sz w:val="24"/>
          <w:szCs w:val="24"/>
        </w:rPr>
        <w:t>m</w:t>
      </w:r>
      <w:r w:rsidRPr="00643101">
        <w:rPr>
          <w:sz w:val="24"/>
          <w:szCs w:val="24"/>
        </w:rPr>
        <w:t xml:space="preserve"> berwenang membauat suatu putusan berdasarkan Pasal 53 ayat (1) </w:t>
      </w:r>
      <w:r w:rsidRPr="00643101">
        <w:rPr>
          <w:rFonts w:eastAsia="Times New Roman"/>
          <w:sz w:val="24"/>
          <w:szCs w:val="24"/>
          <w:lang w:val="id-ID"/>
        </w:rPr>
        <w:t>Undang-undang Kekuasaan Kehakiman Pasal 53</w:t>
      </w:r>
      <w:r w:rsidR="004176F9" w:rsidRPr="00643101">
        <w:rPr>
          <w:rStyle w:val="FootnoteReference"/>
          <w:rFonts w:eastAsia="Times New Roman"/>
          <w:sz w:val="24"/>
          <w:szCs w:val="24"/>
          <w:lang w:val="id-ID"/>
        </w:rPr>
        <w:footnoteReference w:id="3"/>
      </w:r>
      <w:r w:rsidRPr="00643101">
        <w:rPr>
          <w:rFonts w:eastAsia="Times New Roman"/>
          <w:sz w:val="24"/>
          <w:szCs w:val="24"/>
          <w:lang w:val="id-ID"/>
        </w:rPr>
        <w:t xml:space="preserve">, </w:t>
      </w:r>
      <w:r w:rsidRPr="00643101">
        <w:rPr>
          <w:rFonts w:eastAsia="Times New Roman"/>
          <w:sz w:val="24"/>
          <w:szCs w:val="24"/>
          <w:lang w:val="en-GB"/>
        </w:rPr>
        <w:t xml:space="preserve">yang </w:t>
      </w:r>
      <w:r w:rsidRPr="00643101">
        <w:rPr>
          <w:rFonts w:eastAsia="Times New Roman"/>
          <w:sz w:val="24"/>
          <w:szCs w:val="24"/>
          <w:lang w:val="id-ID"/>
        </w:rPr>
        <w:t xml:space="preserve">berbunyi: </w:t>
      </w:r>
      <w:r w:rsidRPr="00643101">
        <w:rPr>
          <w:rFonts w:eastAsia="Times New Roman"/>
          <w:sz w:val="24"/>
          <w:szCs w:val="24"/>
          <w:lang w:val="en-GB"/>
        </w:rPr>
        <w:t>“</w:t>
      </w:r>
      <w:r w:rsidRPr="00643101">
        <w:rPr>
          <w:rFonts w:eastAsia="Times New Roman"/>
          <w:sz w:val="24"/>
          <w:szCs w:val="24"/>
          <w:lang w:val="id-ID"/>
        </w:rPr>
        <w:t>Dalam memeriksa dan memutus perkara, hakim bertanggung jawab atas penetapan dan putusan yang dibuatnya</w:t>
      </w:r>
      <w:r w:rsidR="00593A0C" w:rsidRPr="00643101">
        <w:rPr>
          <w:rFonts w:eastAsia="Times New Roman"/>
          <w:sz w:val="24"/>
          <w:szCs w:val="24"/>
          <w:lang w:val="en-GB"/>
        </w:rPr>
        <w:t>” Dalam pasal ini secara jelas bahwa hakim oleh undang-undang diberi kewenangan membuat penetapan dan putusan.</w:t>
      </w:r>
      <w:r w:rsidRPr="00643101">
        <w:rPr>
          <w:rFonts w:eastAsia="Times New Roman"/>
          <w:sz w:val="24"/>
          <w:szCs w:val="24"/>
          <w:lang w:val="id-ID"/>
        </w:rPr>
        <w:t>.</w:t>
      </w:r>
    </w:p>
    <w:p w14:paraId="113BC8B5" w14:textId="27C72055" w:rsidR="00A10261" w:rsidRPr="00643101" w:rsidRDefault="00A10261" w:rsidP="00A24F3F">
      <w:pPr>
        <w:pStyle w:val="ListParagraph"/>
        <w:spacing w:line="360" w:lineRule="auto"/>
        <w:ind w:left="993" w:firstLine="447"/>
        <w:jc w:val="both"/>
        <w:rPr>
          <w:rFonts w:eastAsia="Times New Roman"/>
          <w:sz w:val="24"/>
          <w:szCs w:val="24"/>
          <w:lang w:val="en-GB"/>
        </w:rPr>
      </w:pPr>
      <w:r w:rsidRPr="00643101">
        <w:rPr>
          <w:rFonts w:eastAsia="Times New Roman"/>
          <w:sz w:val="24"/>
          <w:szCs w:val="24"/>
          <w:lang w:val="en-GB"/>
        </w:rPr>
        <w:t>Bagaimana isi atau kandungan putusan hakim harus dibuat diantaranya diatur dalam beberapa Pasal dalam Rbg sebagai beri</w:t>
      </w:r>
      <w:r w:rsidR="00E31CE3" w:rsidRPr="00643101">
        <w:rPr>
          <w:rFonts w:eastAsia="Times New Roman"/>
          <w:sz w:val="24"/>
          <w:szCs w:val="24"/>
          <w:lang w:val="en-GB"/>
        </w:rPr>
        <w:t>kut</w:t>
      </w:r>
      <w:r w:rsidRPr="00643101">
        <w:rPr>
          <w:rFonts w:eastAsia="Times New Roman"/>
          <w:sz w:val="24"/>
          <w:szCs w:val="24"/>
          <w:lang w:val="en-GB"/>
        </w:rPr>
        <w:t>:</w:t>
      </w:r>
    </w:p>
    <w:p w14:paraId="43E79E92" w14:textId="5A3AD519" w:rsidR="00A10261" w:rsidRPr="00643101" w:rsidRDefault="00593A0C" w:rsidP="00A24F3F">
      <w:pPr>
        <w:pStyle w:val="ListParagraph"/>
        <w:spacing w:line="360" w:lineRule="auto"/>
        <w:ind w:left="993" w:firstLine="447"/>
        <w:jc w:val="both"/>
        <w:rPr>
          <w:sz w:val="24"/>
          <w:szCs w:val="24"/>
        </w:rPr>
      </w:pPr>
      <w:r w:rsidRPr="00643101">
        <w:rPr>
          <w:sz w:val="24"/>
          <w:szCs w:val="24"/>
        </w:rPr>
        <w:t>Pasal 194</w:t>
      </w:r>
      <w:r w:rsidR="00D03F10" w:rsidRPr="00643101">
        <w:rPr>
          <w:sz w:val="24"/>
          <w:szCs w:val="24"/>
        </w:rPr>
        <w:t xml:space="preserve"> Rbg ditegaskan bahwa</w:t>
      </w:r>
      <w:r w:rsidR="00E31CE3" w:rsidRPr="00643101">
        <w:rPr>
          <w:sz w:val="24"/>
          <w:szCs w:val="24"/>
        </w:rPr>
        <w:t xml:space="preserve"> </w:t>
      </w:r>
      <w:r w:rsidR="00D03F10" w:rsidRPr="00643101">
        <w:rPr>
          <w:sz w:val="24"/>
          <w:szCs w:val="24"/>
        </w:rPr>
        <w:t>d</w:t>
      </w:r>
      <w:r w:rsidRPr="00643101">
        <w:rPr>
          <w:sz w:val="24"/>
          <w:szCs w:val="24"/>
        </w:rPr>
        <w:t xml:space="preserve">i dalam surat keputusan harus disebutkan: </w:t>
      </w:r>
    </w:p>
    <w:p w14:paraId="43BCBDC2" w14:textId="77777777" w:rsidR="00A10261" w:rsidRPr="00643101" w:rsidRDefault="00A10261" w:rsidP="001962C7">
      <w:pPr>
        <w:pStyle w:val="ListParagraph"/>
        <w:numPr>
          <w:ilvl w:val="0"/>
          <w:numId w:val="4"/>
        </w:numPr>
        <w:spacing w:line="360" w:lineRule="auto"/>
        <w:ind w:left="1418" w:hanging="425"/>
        <w:jc w:val="both"/>
        <w:rPr>
          <w:sz w:val="24"/>
          <w:szCs w:val="24"/>
        </w:rPr>
      </w:pPr>
      <w:r w:rsidRPr="00643101">
        <w:rPr>
          <w:sz w:val="24"/>
          <w:szCs w:val="24"/>
        </w:rPr>
        <w:t>B</w:t>
      </w:r>
      <w:r w:rsidR="00593A0C" w:rsidRPr="00643101">
        <w:rPr>
          <w:sz w:val="24"/>
          <w:szCs w:val="24"/>
        </w:rPr>
        <w:t xml:space="preserve">iaya perkara yang harus dibayar oleh suatu pihak, tidak termasuk biaya yang timbul sesudah ada putusan, dan hal ini, jika perlu, akan diperhitungkan kemudian oleh ketua; </w:t>
      </w:r>
    </w:p>
    <w:p w14:paraId="0500791C" w14:textId="77777777" w:rsidR="00A10261" w:rsidRPr="00643101" w:rsidRDefault="00A10261" w:rsidP="001962C7">
      <w:pPr>
        <w:pStyle w:val="ListParagraph"/>
        <w:numPr>
          <w:ilvl w:val="0"/>
          <w:numId w:val="4"/>
        </w:numPr>
        <w:spacing w:line="360" w:lineRule="auto"/>
        <w:ind w:left="1418" w:hanging="425"/>
        <w:jc w:val="both"/>
        <w:rPr>
          <w:sz w:val="24"/>
          <w:szCs w:val="24"/>
        </w:rPr>
      </w:pPr>
      <w:r w:rsidRPr="00643101">
        <w:rPr>
          <w:sz w:val="24"/>
          <w:szCs w:val="24"/>
        </w:rPr>
        <w:t>J</w:t>
      </w:r>
      <w:r w:rsidR="00593A0C" w:rsidRPr="00643101">
        <w:rPr>
          <w:sz w:val="24"/>
          <w:szCs w:val="24"/>
        </w:rPr>
        <w:t xml:space="preserve">umlah biaya, kerugian dan bunga, jika putusan itu mengandung penghukuman untuk membayarnya. (Rv. 607, 610; IR. 183.) </w:t>
      </w:r>
    </w:p>
    <w:p w14:paraId="7D154557" w14:textId="77777777" w:rsidR="00A10261" w:rsidRPr="00643101" w:rsidRDefault="00593A0C" w:rsidP="001962C7">
      <w:pPr>
        <w:pStyle w:val="ListParagraph"/>
        <w:numPr>
          <w:ilvl w:val="0"/>
          <w:numId w:val="4"/>
        </w:numPr>
        <w:spacing w:line="360" w:lineRule="auto"/>
        <w:ind w:left="1418" w:hanging="425"/>
        <w:jc w:val="both"/>
        <w:rPr>
          <w:sz w:val="24"/>
          <w:szCs w:val="24"/>
        </w:rPr>
      </w:pPr>
      <w:r w:rsidRPr="00643101">
        <w:rPr>
          <w:sz w:val="24"/>
          <w:szCs w:val="24"/>
        </w:rPr>
        <w:t xml:space="preserve">Pasal 195. (1) Keputusan hakim harus memuat secara singkat tetapi jelas tentang apa yang dituntut serta jawabannya, begitu pula tentang dasar-dasar keputusan itu dan apa yang dimaksud dalam pasal 7 RO. </w:t>
      </w:r>
    </w:p>
    <w:p w14:paraId="0E17C0FA" w14:textId="77777777" w:rsidR="00A10261" w:rsidRPr="00643101" w:rsidRDefault="00A10261" w:rsidP="001962C7">
      <w:pPr>
        <w:pStyle w:val="ListParagraph"/>
        <w:numPr>
          <w:ilvl w:val="0"/>
          <w:numId w:val="4"/>
        </w:numPr>
        <w:spacing w:line="360" w:lineRule="auto"/>
        <w:ind w:left="1418" w:hanging="425"/>
        <w:jc w:val="both"/>
        <w:rPr>
          <w:sz w:val="24"/>
          <w:szCs w:val="24"/>
        </w:rPr>
      </w:pPr>
      <w:r w:rsidRPr="00643101">
        <w:rPr>
          <w:sz w:val="24"/>
          <w:szCs w:val="24"/>
        </w:rPr>
        <w:t>D</w:t>
      </w:r>
      <w:r w:rsidR="00593A0C" w:rsidRPr="00643101">
        <w:rPr>
          <w:sz w:val="24"/>
          <w:szCs w:val="24"/>
        </w:rPr>
        <w:t xml:space="preserve">an akhirnya putusan pengadilan negeri mengenai gugatan pokoknya serta biayanya dan mengenai para pihak mana yang hadir pada waktu putusan diucapkan. </w:t>
      </w:r>
    </w:p>
    <w:p w14:paraId="295DBC79" w14:textId="3D9C25D0" w:rsidR="00A10261" w:rsidRPr="00643101" w:rsidRDefault="00593A0C" w:rsidP="001962C7">
      <w:pPr>
        <w:pStyle w:val="ListParagraph"/>
        <w:numPr>
          <w:ilvl w:val="0"/>
          <w:numId w:val="4"/>
        </w:numPr>
        <w:spacing w:line="360" w:lineRule="auto"/>
        <w:ind w:left="1418" w:hanging="425"/>
        <w:jc w:val="both"/>
        <w:rPr>
          <w:sz w:val="24"/>
          <w:szCs w:val="24"/>
        </w:rPr>
      </w:pPr>
      <w:r w:rsidRPr="00643101">
        <w:rPr>
          <w:sz w:val="24"/>
          <w:szCs w:val="24"/>
        </w:rPr>
        <w:t>Keputusan yang didasarkan atas peraturan perundang-undangan yang pasti harus menyebutkan peraturan-peraturan itu</w:t>
      </w:r>
      <w:r w:rsidR="00A10261" w:rsidRPr="00643101">
        <w:rPr>
          <w:sz w:val="24"/>
          <w:szCs w:val="24"/>
        </w:rPr>
        <w:t xml:space="preserve">. (RO. 7, 30 dst.; </w:t>
      </w:r>
    </w:p>
    <w:p w14:paraId="2B0838FB" w14:textId="77777777" w:rsidR="00A10261" w:rsidRPr="00643101" w:rsidRDefault="00593A0C" w:rsidP="001962C7">
      <w:pPr>
        <w:pStyle w:val="ListParagraph"/>
        <w:numPr>
          <w:ilvl w:val="0"/>
          <w:numId w:val="4"/>
        </w:numPr>
        <w:spacing w:line="360" w:lineRule="auto"/>
        <w:ind w:left="1418" w:hanging="425"/>
        <w:jc w:val="both"/>
        <w:rPr>
          <w:sz w:val="24"/>
          <w:szCs w:val="24"/>
        </w:rPr>
      </w:pPr>
      <w:r w:rsidRPr="00643101">
        <w:rPr>
          <w:sz w:val="24"/>
          <w:szCs w:val="24"/>
        </w:rPr>
        <w:t>Surat-surat keputusan ditandatangani oleh ketua</w:t>
      </w:r>
      <w:r w:rsidR="00A10261" w:rsidRPr="00643101">
        <w:rPr>
          <w:sz w:val="24"/>
          <w:szCs w:val="24"/>
        </w:rPr>
        <w:t xml:space="preserve"> dan panitera.</w:t>
      </w:r>
    </w:p>
    <w:p w14:paraId="1918D60D" w14:textId="77777777" w:rsidR="00A10261" w:rsidRPr="00643101" w:rsidRDefault="00593A0C" w:rsidP="001962C7">
      <w:pPr>
        <w:pStyle w:val="ListParagraph"/>
        <w:numPr>
          <w:ilvl w:val="0"/>
          <w:numId w:val="4"/>
        </w:numPr>
        <w:spacing w:line="360" w:lineRule="auto"/>
        <w:ind w:left="1418" w:hanging="425"/>
        <w:jc w:val="both"/>
        <w:rPr>
          <w:sz w:val="24"/>
          <w:szCs w:val="24"/>
        </w:rPr>
      </w:pPr>
      <w:r w:rsidRPr="00643101">
        <w:rPr>
          <w:sz w:val="24"/>
          <w:szCs w:val="24"/>
        </w:rPr>
        <w:t xml:space="preserve">Pasal 196. (1) putusan yang tidak merupakan putusan akhir, meskipun diucapkan di dalam sidang pengadilan, tidak dibuatkan tersendiri melainkan hanya dicatat dalam berita acara. </w:t>
      </w:r>
    </w:p>
    <w:p w14:paraId="28EE6838" w14:textId="77777777" w:rsidR="00981203" w:rsidRPr="00643101" w:rsidRDefault="00A10261" w:rsidP="001962C7">
      <w:pPr>
        <w:pStyle w:val="ListParagraph"/>
        <w:numPr>
          <w:ilvl w:val="0"/>
          <w:numId w:val="4"/>
        </w:numPr>
        <w:spacing w:line="360" w:lineRule="auto"/>
        <w:ind w:left="1418" w:hanging="425"/>
        <w:jc w:val="both"/>
        <w:rPr>
          <w:sz w:val="24"/>
          <w:szCs w:val="24"/>
        </w:rPr>
      </w:pPr>
      <w:r w:rsidRPr="00643101">
        <w:rPr>
          <w:sz w:val="24"/>
          <w:szCs w:val="24"/>
        </w:rPr>
        <w:t>P</w:t>
      </w:r>
      <w:r w:rsidR="00593A0C" w:rsidRPr="00643101">
        <w:rPr>
          <w:sz w:val="24"/>
          <w:szCs w:val="24"/>
        </w:rPr>
        <w:t>ara pihak, atas biaya sendiri, dapat memperoleh turunan otentik dar</w:t>
      </w:r>
      <w:r w:rsidRPr="00643101">
        <w:rPr>
          <w:sz w:val="24"/>
          <w:szCs w:val="24"/>
        </w:rPr>
        <w:t>i catatan-catatan demikian.</w:t>
      </w:r>
    </w:p>
    <w:p w14:paraId="2CD276AB" w14:textId="77777777" w:rsidR="00981203" w:rsidRPr="00643101" w:rsidRDefault="00593A0C" w:rsidP="001962C7">
      <w:pPr>
        <w:pStyle w:val="ListParagraph"/>
        <w:numPr>
          <w:ilvl w:val="0"/>
          <w:numId w:val="4"/>
        </w:numPr>
        <w:spacing w:line="360" w:lineRule="auto"/>
        <w:ind w:left="1418" w:hanging="425"/>
        <w:jc w:val="both"/>
        <w:rPr>
          <w:sz w:val="24"/>
          <w:szCs w:val="24"/>
        </w:rPr>
      </w:pPr>
      <w:r w:rsidRPr="00643101">
        <w:rPr>
          <w:sz w:val="24"/>
          <w:szCs w:val="24"/>
        </w:rPr>
        <w:lastRenderedPageBreak/>
        <w:t>Pasal 197. (1) panitera membuat satu berita acara dari tiap-tiap perkara yang mencatat tiap-tiap kejadian di dalam sidang dan juga nasihat/pertimbangan yang diberikan oleh pejabat yang disebut dalam pasal 7 RO. (2) tidak disebutkan apakah putusan diambil dengan suara terban</w:t>
      </w:r>
      <w:r w:rsidR="00A10261" w:rsidRPr="00643101">
        <w:rPr>
          <w:sz w:val="24"/>
          <w:szCs w:val="24"/>
        </w:rPr>
        <w:t xml:space="preserve">yak atau dengan suara bulat. </w:t>
      </w:r>
    </w:p>
    <w:p w14:paraId="5C681F19" w14:textId="77777777" w:rsidR="00981203" w:rsidRPr="00643101" w:rsidRDefault="00593A0C" w:rsidP="001962C7">
      <w:pPr>
        <w:pStyle w:val="ListParagraph"/>
        <w:numPr>
          <w:ilvl w:val="0"/>
          <w:numId w:val="4"/>
        </w:numPr>
        <w:spacing w:line="360" w:lineRule="auto"/>
        <w:ind w:left="1418" w:hanging="425"/>
        <w:jc w:val="both"/>
        <w:rPr>
          <w:sz w:val="24"/>
          <w:szCs w:val="24"/>
        </w:rPr>
      </w:pPr>
      <w:r w:rsidRPr="00643101">
        <w:rPr>
          <w:sz w:val="24"/>
          <w:szCs w:val="24"/>
        </w:rPr>
        <w:t>Berita acara ini ditandatang</w:t>
      </w:r>
      <w:r w:rsidR="00A10261" w:rsidRPr="00643101">
        <w:rPr>
          <w:sz w:val="24"/>
          <w:szCs w:val="24"/>
        </w:rPr>
        <w:t>ani oleh ketua dan panitera.</w:t>
      </w:r>
    </w:p>
    <w:p w14:paraId="0D26185D" w14:textId="77777777" w:rsidR="00981203" w:rsidRPr="00643101" w:rsidRDefault="00593A0C" w:rsidP="001962C7">
      <w:pPr>
        <w:pStyle w:val="ListParagraph"/>
        <w:numPr>
          <w:ilvl w:val="0"/>
          <w:numId w:val="4"/>
        </w:numPr>
        <w:spacing w:line="360" w:lineRule="auto"/>
        <w:ind w:left="1418" w:hanging="425"/>
        <w:jc w:val="both"/>
        <w:rPr>
          <w:sz w:val="24"/>
          <w:szCs w:val="24"/>
        </w:rPr>
      </w:pPr>
      <w:r w:rsidRPr="00643101">
        <w:rPr>
          <w:sz w:val="24"/>
          <w:szCs w:val="24"/>
        </w:rPr>
        <w:t xml:space="preserve">Pasal 198. (1) Jika ketua </w:t>
      </w:r>
      <w:r w:rsidR="00981203" w:rsidRPr="00643101">
        <w:rPr>
          <w:sz w:val="24"/>
          <w:szCs w:val="24"/>
        </w:rPr>
        <w:t>berhalangan untuk menandatangani</w:t>
      </w:r>
      <w:r w:rsidRPr="00643101">
        <w:rPr>
          <w:sz w:val="24"/>
          <w:szCs w:val="24"/>
        </w:rPr>
        <w:t xml:space="preserve"> surat keputusan atau berita acara di sidang pengadilan, maka surat itu ditandatangarti oleh anggota sidang yang langsung ada di bawahnya yang ikut duduk dalam majelis. </w:t>
      </w:r>
    </w:p>
    <w:p w14:paraId="158917F5" w14:textId="09815E1D" w:rsidR="00593A0C" w:rsidRPr="00643101" w:rsidRDefault="00593A0C" w:rsidP="001962C7">
      <w:pPr>
        <w:pStyle w:val="ListParagraph"/>
        <w:numPr>
          <w:ilvl w:val="0"/>
          <w:numId w:val="4"/>
        </w:numPr>
        <w:spacing w:line="360" w:lineRule="auto"/>
        <w:ind w:left="1418" w:hanging="425"/>
        <w:jc w:val="both"/>
        <w:rPr>
          <w:sz w:val="24"/>
          <w:szCs w:val="24"/>
        </w:rPr>
      </w:pPr>
      <w:r w:rsidRPr="00643101">
        <w:rPr>
          <w:sz w:val="24"/>
          <w:szCs w:val="24"/>
        </w:rPr>
        <w:t>Jika panitera yang berhalangan, maka hal itu dengan tegas dicatat dalam surat keputusannya atau di dalam berita acara sidang.</w:t>
      </w:r>
    </w:p>
    <w:p w14:paraId="0F476557" w14:textId="6686EF45" w:rsidR="00461B82" w:rsidRPr="00643101" w:rsidRDefault="00981203" w:rsidP="005B5257">
      <w:pPr>
        <w:spacing w:before="120" w:line="360" w:lineRule="auto"/>
        <w:ind w:left="993" w:firstLine="708"/>
        <w:jc w:val="both"/>
        <w:rPr>
          <w:sz w:val="24"/>
          <w:szCs w:val="24"/>
        </w:rPr>
      </w:pPr>
      <w:r w:rsidRPr="00643101">
        <w:rPr>
          <w:sz w:val="24"/>
          <w:szCs w:val="24"/>
        </w:rPr>
        <w:t>Sedangkan mengenai format atau bentuk putusan berupa</w:t>
      </w:r>
      <w:r w:rsidR="00D35B48" w:rsidRPr="00643101">
        <w:rPr>
          <w:sz w:val="24"/>
          <w:szCs w:val="24"/>
        </w:rPr>
        <w:t xml:space="preserve"> </w:t>
      </w:r>
      <w:r w:rsidR="009D2DDF" w:rsidRPr="00643101">
        <w:rPr>
          <w:sz w:val="24"/>
          <w:szCs w:val="24"/>
        </w:rPr>
        <w:t xml:space="preserve">Judul </w:t>
      </w:r>
      <w:r w:rsidRPr="00643101">
        <w:rPr>
          <w:sz w:val="24"/>
          <w:szCs w:val="24"/>
        </w:rPr>
        <w:t>Putusan, Nomor</w:t>
      </w:r>
      <w:r w:rsidR="00A24F3F" w:rsidRPr="00643101">
        <w:rPr>
          <w:sz w:val="24"/>
          <w:szCs w:val="24"/>
        </w:rPr>
        <w:t xml:space="preserve"> </w:t>
      </w:r>
      <w:r w:rsidRPr="00643101">
        <w:rPr>
          <w:sz w:val="24"/>
          <w:szCs w:val="24"/>
        </w:rPr>
        <w:t>Putusan, kalimat Bismillahirrahmanirrahim khusus bagi Putusan Peradilan Agama, dan kalimat Demi Keadilan Berdasarkan Ketuhanan Yang Maha Esa dan</w:t>
      </w:r>
      <w:r w:rsidR="00280888" w:rsidRPr="00643101">
        <w:rPr>
          <w:sz w:val="24"/>
          <w:szCs w:val="24"/>
        </w:rPr>
        <w:t xml:space="preserve"> fo</w:t>
      </w:r>
      <w:r w:rsidRPr="00643101">
        <w:rPr>
          <w:sz w:val="24"/>
          <w:szCs w:val="24"/>
        </w:rPr>
        <w:t>rmat seterusnya tidak di atur dalam pasal-pasal Rbg atau HIR tetapi diatur secara tersendiri di dalam Keputusa</w:t>
      </w:r>
      <w:r w:rsidR="00280888" w:rsidRPr="00643101">
        <w:rPr>
          <w:sz w:val="24"/>
          <w:szCs w:val="24"/>
        </w:rPr>
        <w:t>n Ketua Mahkamah Agung RI.</w:t>
      </w:r>
    </w:p>
    <w:p w14:paraId="031561C6" w14:textId="0B202C14" w:rsidR="00280888" w:rsidRPr="00643101" w:rsidRDefault="00280888" w:rsidP="001962C7">
      <w:pPr>
        <w:spacing w:line="360" w:lineRule="auto"/>
        <w:ind w:left="993" w:firstLine="708"/>
        <w:jc w:val="both"/>
        <w:rPr>
          <w:sz w:val="24"/>
          <w:szCs w:val="24"/>
        </w:rPr>
      </w:pPr>
      <w:r w:rsidRPr="00643101">
        <w:rPr>
          <w:sz w:val="24"/>
          <w:szCs w:val="24"/>
        </w:rPr>
        <w:t>Dengan demikian dapat kita simpulkan bahwa putusan hakim adalah diantara contoh akta otentik karena dibuat oleh Pejabat yang berwenang berdasarkan undang-undang yakni Hakim, dan menurut bentuk yang ditentukan dalam peraturan perundang-undangan. Di kantor pengadilan banyak akta yang bisa dikategorikan sebagai akta otentik, semisal Penetapan-penetapan yang dibuat oleh Ketua Pengadilan,</w:t>
      </w:r>
      <w:r w:rsidR="00D35B48" w:rsidRPr="00643101">
        <w:rPr>
          <w:sz w:val="24"/>
          <w:szCs w:val="24"/>
        </w:rPr>
        <w:t xml:space="preserve"> </w:t>
      </w:r>
      <w:r w:rsidRPr="00643101">
        <w:rPr>
          <w:sz w:val="24"/>
          <w:szCs w:val="24"/>
        </w:rPr>
        <w:t>Akta Cerai yang dibuat oleh Panitera, Berita Acara Persidangan yang dibuat oleh Panitera Pengganti yang bersidang, Berita Acara Sita dan Berita Acara Eksekusi yang dibuat oleh Juru Sita dan lain-lain sebagainya.</w:t>
      </w:r>
    </w:p>
    <w:p w14:paraId="0C7C925C" w14:textId="1D87078D" w:rsidR="002C5D56" w:rsidRPr="00643101" w:rsidRDefault="002C5D56" w:rsidP="001962C7">
      <w:pPr>
        <w:spacing w:line="360" w:lineRule="auto"/>
        <w:ind w:left="993" w:firstLine="708"/>
        <w:jc w:val="both"/>
        <w:rPr>
          <w:sz w:val="24"/>
          <w:szCs w:val="24"/>
        </w:rPr>
      </w:pPr>
      <w:r w:rsidRPr="00643101">
        <w:rPr>
          <w:sz w:val="24"/>
          <w:szCs w:val="24"/>
        </w:rPr>
        <w:t>Akta otentik memiliki kekuatan sempurna</w:t>
      </w:r>
      <w:r w:rsidR="00791AD0" w:rsidRPr="00643101">
        <w:rPr>
          <w:sz w:val="24"/>
          <w:szCs w:val="24"/>
        </w:rPr>
        <w:t xml:space="preserve"> dalam bahasa</w:t>
      </w:r>
      <w:r w:rsidR="00D35B48" w:rsidRPr="00643101">
        <w:rPr>
          <w:sz w:val="24"/>
          <w:szCs w:val="24"/>
        </w:rPr>
        <w:t xml:space="preserve"> </w:t>
      </w:r>
      <w:r w:rsidR="00791AD0" w:rsidRPr="00643101">
        <w:rPr>
          <w:sz w:val="24"/>
          <w:szCs w:val="24"/>
        </w:rPr>
        <w:t>Rbgnya disebut bukti lengkap</w:t>
      </w:r>
      <w:r w:rsidRPr="00643101">
        <w:rPr>
          <w:sz w:val="24"/>
          <w:szCs w:val="24"/>
        </w:rPr>
        <w:t xml:space="preserve"> dan mengikat, dalam arti kata bahwa sepanjang mengenai keterangan yang ada dalam akta tersebut, maka akta tersebut mempunyai kekuatan sempurna, yakni menjadi bukti yang sempurna tidak membutuhkan bukti lain dan mengikat artinya hakim tidak bisa menafsirkan lain selain dari apa yang tertera dalam akta otentik tersebut.</w:t>
      </w:r>
    </w:p>
    <w:p w14:paraId="173916CB" w14:textId="5A7E7E9D" w:rsidR="00280888" w:rsidRPr="00643101" w:rsidRDefault="00280888" w:rsidP="005B5257">
      <w:pPr>
        <w:pStyle w:val="ListParagraph"/>
        <w:numPr>
          <w:ilvl w:val="3"/>
          <w:numId w:val="2"/>
        </w:numPr>
        <w:spacing w:line="360" w:lineRule="auto"/>
        <w:ind w:left="993" w:hanging="283"/>
        <w:jc w:val="both"/>
        <w:rPr>
          <w:sz w:val="24"/>
          <w:szCs w:val="24"/>
        </w:rPr>
      </w:pPr>
      <w:r w:rsidRPr="00643101">
        <w:rPr>
          <w:sz w:val="24"/>
          <w:szCs w:val="24"/>
        </w:rPr>
        <w:lastRenderedPageBreak/>
        <w:t>Akta di Bawah Tangan</w:t>
      </w:r>
    </w:p>
    <w:p w14:paraId="02EFEF8A" w14:textId="5F10D118" w:rsidR="00791AD0" w:rsidRPr="00643101" w:rsidRDefault="00791AD0" w:rsidP="001962C7">
      <w:pPr>
        <w:pStyle w:val="BodyText"/>
        <w:spacing w:line="360" w:lineRule="auto"/>
        <w:ind w:left="993" w:firstLine="708"/>
        <w:rPr>
          <w:sz w:val="24"/>
          <w:szCs w:val="24"/>
        </w:rPr>
      </w:pPr>
      <w:r w:rsidRPr="00643101">
        <w:rPr>
          <w:sz w:val="24"/>
          <w:szCs w:val="24"/>
        </w:rPr>
        <w:t xml:space="preserve">Didalam Rbg mengenai akta di bawah tangan ini diatur di dalam Pasal </w:t>
      </w:r>
      <w:r w:rsidRPr="00643101">
        <w:rPr>
          <w:w w:val="105"/>
          <w:sz w:val="24"/>
          <w:szCs w:val="24"/>
        </w:rPr>
        <w:t>286 Rbg yang secara lengkap berbunyi sebagai berikut: “Akta-akta di bawah tangan adalah akta-akta yang ditandatangani di bawah tangan, surat-surat, daftar-daftar, surat-surat mengenai rumah tangga dan surat-surat lain yang dibuat tanpa campur tangan pejabat</w:t>
      </w:r>
      <w:r w:rsidRPr="00643101">
        <w:rPr>
          <w:spacing w:val="-2"/>
          <w:w w:val="105"/>
          <w:sz w:val="24"/>
          <w:szCs w:val="24"/>
        </w:rPr>
        <w:t xml:space="preserve"> </w:t>
      </w:r>
      <w:r w:rsidRPr="00643101">
        <w:rPr>
          <w:w w:val="105"/>
          <w:sz w:val="24"/>
          <w:szCs w:val="24"/>
        </w:rPr>
        <w:t>pemerintah”.</w:t>
      </w:r>
    </w:p>
    <w:p w14:paraId="299FEB83" w14:textId="24D4D972" w:rsidR="00A24F3F" w:rsidRPr="00643101" w:rsidRDefault="00280888" w:rsidP="00A24F3F">
      <w:pPr>
        <w:pStyle w:val="ListParagraph"/>
        <w:spacing w:line="360" w:lineRule="auto"/>
        <w:ind w:left="993" w:firstLine="708"/>
        <w:jc w:val="both"/>
        <w:rPr>
          <w:sz w:val="24"/>
          <w:szCs w:val="24"/>
        </w:rPr>
      </w:pPr>
      <w:r w:rsidRPr="00643101">
        <w:rPr>
          <w:sz w:val="24"/>
          <w:szCs w:val="24"/>
        </w:rPr>
        <w:t xml:space="preserve">Akta di bawah tangan adalah suatu bukti berupa akta atau surat yang dibuat bukan oleh Pejabat </w:t>
      </w:r>
      <w:r w:rsidR="002C5D56" w:rsidRPr="00643101">
        <w:rPr>
          <w:sz w:val="24"/>
          <w:szCs w:val="24"/>
        </w:rPr>
        <w:t>Yang berwenang, atau bukan di hadapan pejabat yang berwenang, seperti suatu surat perjanjian jual beli</w:t>
      </w:r>
      <w:r w:rsidR="0061483E">
        <w:rPr>
          <w:sz w:val="24"/>
          <w:szCs w:val="24"/>
        </w:rPr>
        <w:t xml:space="preserve"> </w:t>
      </w:r>
      <w:r w:rsidR="002C5D56" w:rsidRPr="00643101">
        <w:rPr>
          <w:sz w:val="24"/>
          <w:szCs w:val="24"/>
        </w:rPr>
        <w:t>yang dibuat di hadapan Lurah, atau Ketua RT atau kesepakatan yang dibuat di hadapan Ulama atau pimpinan Desa dan lain-lain sebagainya. Yang membuat akta itu adalah kedua belah pihak tetapi disaksikan oleh pimpinan seperti yang disebutkan di atas, maka akta atau surat bukti seperti itu dikategorikan sebagai akta di bawah tangan.</w:t>
      </w:r>
    </w:p>
    <w:p w14:paraId="2EA4408B" w14:textId="24B079F8" w:rsidR="002C0605" w:rsidRPr="00643101" w:rsidRDefault="002C0605" w:rsidP="005B5257">
      <w:pPr>
        <w:pStyle w:val="ListParagraph"/>
        <w:numPr>
          <w:ilvl w:val="3"/>
          <w:numId w:val="2"/>
        </w:numPr>
        <w:spacing w:before="120" w:line="360" w:lineRule="auto"/>
        <w:ind w:left="993" w:hanging="283"/>
        <w:jc w:val="both"/>
        <w:rPr>
          <w:sz w:val="24"/>
          <w:szCs w:val="24"/>
        </w:rPr>
      </w:pPr>
      <w:r w:rsidRPr="00643101">
        <w:rPr>
          <w:sz w:val="24"/>
          <w:szCs w:val="24"/>
        </w:rPr>
        <w:t>Penilaian Terhadap Bukti Akta Oleh Hakim</w:t>
      </w:r>
    </w:p>
    <w:p w14:paraId="2143E2C2" w14:textId="7F0EF646" w:rsidR="002C0605" w:rsidRPr="00643101" w:rsidRDefault="002C0605" w:rsidP="001962C7">
      <w:pPr>
        <w:pStyle w:val="ListParagraph"/>
        <w:spacing w:line="360" w:lineRule="auto"/>
        <w:ind w:left="993" w:firstLine="708"/>
        <w:jc w:val="both"/>
        <w:rPr>
          <w:sz w:val="24"/>
          <w:szCs w:val="24"/>
        </w:rPr>
      </w:pPr>
      <w:r w:rsidRPr="00643101">
        <w:rPr>
          <w:sz w:val="24"/>
          <w:szCs w:val="24"/>
        </w:rPr>
        <w:t>Ketika Hakim menilai bukti yang diajukan kepadanya baik berupa akta otentik maupun akta di bawah tanga</w:t>
      </w:r>
      <w:r w:rsidR="005B5257" w:rsidRPr="00643101">
        <w:rPr>
          <w:sz w:val="24"/>
          <w:szCs w:val="24"/>
        </w:rPr>
        <w:t>n</w:t>
      </w:r>
      <w:r w:rsidRPr="00643101">
        <w:rPr>
          <w:sz w:val="24"/>
          <w:szCs w:val="24"/>
        </w:rPr>
        <w:t xml:space="preserve"> harus</w:t>
      </w:r>
      <w:r w:rsidR="003E531A" w:rsidRPr="00643101">
        <w:rPr>
          <w:sz w:val="24"/>
          <w:szCs w:val="24"/>
        </w:rPr>
        <w:t xml:space="preserve"> benar-benar</w:t>
      </w:r>
      <w:r w:rsidRPr="00643101">
        <w:rPr>
          <w:sz w:val="24"/>
          <w:szCs w:val="24"/>
        </w:rPr>
        <w:t xml:space="preserve"> dapat membedakan antara keduanya, karena kekuatan pembuktian dan nilai pembuktian kedua akta tersebut sangat jauh berbeda, kesalahan di dalam menilai kedua macam akta tersebut akan berakibat kesalahan dalam pembuktian secara keseluruhan, oleh karena itu sekali lagi bagi Hakim sangat penting artinya pemahaman yang benar terhadap substansi akta otentik dan akta di </w:t>
      </w:r>
      <w:r w:rsidR="005B5257" w:rsidRPr="00643101">
        <w:rPr>
          <w:sz w:val="24"/>
          <w:szCs w:val="24"/>
        </w:rPr>
        <w:t>ba</w:t>
      </w:r>
      <w:r w:rsidRPr="00643101">
        <w:rPr>
          <w:sz w:val="24"/>
          <w:szCs w:val="24"/>
        </w:rPr>
        <w:t>wah tangan.</w:t>
      </w:r>
    </w:p>
    <w:p w14:paraId="26187B89" w14:textId="428537B2" w:rsidR="008C2436" w:rsidRPr="00643101" w:rsidRDefault="002C0605" w:rsidP="001962C7">
      <w:pPr>
        <w:pStyle w:val="ListParagraph"/>
        <w:spacing w:line="360" w:lineRule="auto"/>
        <w:ind w:left="993" w:firstLine="708"/>
        <w:jc w:val="both"/>
        <w:rPr>
          <w:sz w:val="24"/>
          <w:szCs w:val="24"/>
        </w:rPr>
      </w:pPr>
      <w:r w:rsidRPr="00643101">
        <w:rPr>
          <w:sz w:val="24"/>
          <w:szCs w:val="24"/>
        </w:rPr>
        <w:t xml:space="preserve">Sebagai suatu ilustrasi dan hanya sekedar sebagai contoh tentang penilaian yang keliru terhadap bukti akta ini, adalah apa yang </w:t>
      </w:r>
      <w:r w:rsidR="008C2436" w:rsidRPr="00643101">
        <w:rPr>
          <w:sz w:val="24"/>
          <w:szCs w:val="24"/>
        </w:rPr>
        <w:t>diingatkan oleh Ketua Kamar Agama MA RI, dalam suatu kesempatan dengan kalimat sebagai berikut, “Ada lagi pemahaman h</w:t>
      </w:r>
      <w:r w:rsidR="003E531A" w:rsidRPr="00643101">
        <w:rPr>
          <w:sz w:val="24"/>
          <w:szCs w:val="24"/>
        </w:rPr>
        <w:t>akim kita yang keliru tentang p</w:t>
      </w:r>
      <w:r w:rsidR="008C2436" w:rsidRPr="00643101">
        <w:rPr>
          <w:sz w:val="24"/>
          <w:szCs w:val="24"/>
        </w:rPr>
        <w:t>engertian akta autentik, sehingga catatan hasil musyawarah keluarga/kampung yang diketahui oleh pemuka adat/ulama atau orang yang dituakan di kampung itu dipandang sebagai akta autentik sehingga memiliki bukti sempurna sesuai Pasal 285 Rbg jo Pasal 1870 KUH Perdata”</w:t>
      </w:r>
    </w:p>
    <w:p w14:paraId="3369FC82" w14:textId="29275783" w:rsidR="008C2436" w:rsidRPr="00643101" w:rsidRDefault="008C2436" w:rsidP="001962C7">
      <w:pPr>
        <w:pStyle w:val="ListParagraph"/>
        <w:spacing w:line="360" w:lineRule="auto"/>
        <w:ind w:left="993" w:firstLine="708"/>
        <w:jc w:val="both"/>
        <w:rPr>
          <w:sz w:val="24"/>
          <w:szCs w:val="24"/>
        </w:rPr>
      </w:pPr>
      <w:r w:rsidRPr="00643101">
        <w:rPr>
          <w:sz w:val="24"/>
          <w:szCs w:val="24"/>
        </w:rPr>
        <w:lastRenderedPageBreak/>
        <w:t xml:space="preserve">Info ini cukup menarik, dimana ada Hakim Pengadilan Agama yang berpendapat di dalam putusannya bahwa catatan hasil musyawarah keluarga yang diketahui oleh pemuka adat/ulama setempat adalah dinilai sebagai akta otentik, padahal akta otentik adalah akta yang dibuat oleh atau di hadapan Pejabat Umum yang berwenang, menurut bentuk yang ditentukan oleh peraturan perundang-undang, sebagaimana disinggung di atas. Sedangkan catatan hasil musyawarah keluarga yang diketahui oleh pemuka adat atau ulama setempat tidak memenuhi kriteria sebagai akta otentik, paling-paling catatan seperti itu dapat dinilai sebagai akta di bawah tangan. Jadi catatan </w:t>
      </w:r>
      <w:r w:rsidR="00404564" w:rsidRPr="00643101">
        <w:rPr>
          <w:sz w:val="24"/>
          <w:szCs w:val="24"/>
        </w:rPr>
        <w:t>sebagaimana tersebut di atas yang tidak memenuhi kriteria sebagai akta otentik, tidak dapat dinilai sebagai bukti akta otentik dan tidak memiliki pembuktian sempurna atau bukti lengkap.</w:t>
      </w:r>
    </w:p>
    <w:p w14:paraId="3B716312" w14:textId="27838FFE" w:rsidR="00404564" w:rsidRPr="00643101" w:rsidRDefault="00404564" w:rsidP="001962C7">
      <w:pPr>
        <w:pStyle w:val="BodyText"/>
        <w:spacing w:line="360" w:lineRule="auto"/>
        <w:ind w:left="993" w:firstLine="708"/>
        <w:rPr>
          <w:sz w:val="24"/>
          <w:szCs w:val="24"/>
        </w:rPr>
      </w:pPr>
      <w:r w:rsidRPr="00643101">
        <w:rPr>
          <w:sz w:val="24"/>
          <w:szCs w:val="24"/>
        </w:rPr>
        <w:t xml:space="preserve">Kecuali apabila suatu akta di bawah tangan itu diakui kebenaran tanda tangan dan kebenaran isinya oleh pihak tersebut. Sebagaimana yang diatur di dalam Pasal </w:t>
      </w:r>
      <w:r w:rsidRPr="00643101">
        <w:rPr>
          <w:w w:val="105"/>
          <w:sz w:val="24"/>
          <w:szCs w:val="24"/>
        </w:rPr>
        <w:t>288 Rbg ya</w:t>
      </w:r>
      <w:r w:rsidR="00E31CE3" w:rsidRPr="00643101">
        <w:rPr>
          <w:w w:val="105"/>
          <w:sz w:val="24"/>
          <w:szCs w:val="24"/>
        </w:rPr>
        <w:t>ng selengkapnya sebagai berikut</w:t>
      </w:r>
      <w:r w:rsidRPr="00643101">
        <w:rPr>
          <w:w w:val="105"/>
          <w:sz w:val="24"/>
          <w:szCs w:val="24"/>
        </w:rPr>
        <w:t>. “Akta-akta di bawah tangan yang berasal dari orang Indonesia atau orang Timur Asing yang diakui oleh mereka yang berhubungan dengan pembuatan akta itu atau yang secara hukum diakui sah,</w:t>
      </w:r>
      <w:r w:rsidR="00D221C1">
        <w:rPr>
          <w:w w:val="105"/>
          <w:sz w:val="24"/>
          <w:szCs w:val="24"/>
        </w:rPr>
        <w:t xml:space="preserve"> </w:t>
      </w:r>
      <w:r w:rsidRPr="00643101">
        <w:rPr>
          <w:w w:val="105"/>
          <w:sz w:val="24"/>
          <w:szCs w:val="24"/>
        </w:rPr>
        <w:t>menimbulkan bukti yang lengkap terhadap mereka yang menandatanganinya serta para ahli waris dan mereka yang mendapat hak yang sama seperti suatu akta otentik. (KUHperd. 1875.)</w:t>
      </w:r>
      <w:r w:rsidR="00B56B22" w:rsidRPr="00643101">
        <w:rPr>
          <w:w w:val="105"/>
          <w:sz w:val="24"/>
          <w:szCs w:val="24"/>
        </w:rPr>
        <w:t xml:space="preserve"> </w:t>
      </w:r>
      <w:r w:rsidRPr="00643101">
        <w:rPr>
          <w:w w:val="105"/>
          <w:sz w:val="24"/>
          <w:szCs w:val="24"/>
        </w:rPr>
        <w:t>Dalam hal seperti ini maka akta dibawah tangan yang diakui tersebut dapat dinilai meiliki pembuktian yang sempurna atau lengkap bagi para pihak.</w:t>
      </w:r>
    </w:p>
    <w:p w14:paraId="2D9347DF" w14:textId="69DF0888" w:rsidR="00B56B22" w:rsidRDefault="00404564" w:rsidP="001962C7">
      <w:pPr>
        <w:pStyle w:val="ListParagraph"/>
        <w:spacing w:line="360" w:lineRule="auto"/>
        <w:ind w:left="993" w:firstLine="708"/>
        <w:jc w:val="both"/>
        <w:rPr>
          <w:sz w:val="24"/>
          <w:szCs w:val="24"/>
        </w:rPr>
      </w:pPr>
      <w:r w:rsidRPr="00643101">
        <w:rPr>
          <w:sz w:val="24"/>
          <w:szCs w:val="24"/>
        </w:rPr>
        <w:t xml:space="preserve">Semula bukti akta dibawah tangan itu </w:t>
      </w:r>
      <w:r w:rsidR="00B56B22" w:rsidRPr="00643101">
        <w:rPr>
          <w:sz w:val="24"/>
          <w:szCs w:val="24"/>
        </w:rPr>
        <w:t>tidak sempurna</w:t>
      </w:r>
      <w:r w:rsidR="00E31CE3" w:rsidRPr="00643101">
        <w:rPr>
          <w:sz w:val="24"/>
          <w:szCs w:val="24"/>
        </w:rPr>
        <w:t xml:space="preserve"> </w:t>
      </w:r>
      <w:r w:rsidR="00B56B22" w:rsidRPr="00643101">
        <w:rPr>
          <w:sz w:val="24"/>
          <w:szCs w:val="24"/>
        </w:rPr>
        <w:t>atau tidak lengkap maka dengan pengakuan pihak lawan itu, maka kekuatan pembuktiannya berubah menjadi sempurna dan lengkap karena adanya pengakuan tersebut.  Jadi</w:t>
      </w:r>
      <w:r w:rsidR="00A955EF" w:rsidRPr="00643101">
        <w:rPr>
          <w:sz w:val="24"/>
          <w:szCs w:val="24"/>
        </w:rPr>
        <w:t>,</w:t>
      </w:r>
      <w:r w:rsidR="00B56B22" w:rsidRPr="00643101">
        <w:rPr>
          <w:sz w:val="24"/>
          <w:szCs w:val="24"/>
        </w:rPr>
        <w:t xml:space="preserve"> yang membuat akta di bawah tangan itu berubah nilai pembukatiannya menjadi sempurna adalah pengakuan tersebut bukan akta itu sendiri.</w:t>
      </w:r>
    </w:p>
    <w:p w14:paraId="2C5744BD" w14:textId="77777777" w:rsidR="00C6373C" w:rsidRPr="00643101" w:rsidRDefault="00C6373C" w:rsidP="001962C7">
      <w:pPr>
        <w:pStyle w:val="ListParagraph"/>
        <w:spacing w:line="360" w:lineRule="auto"/>
        <w:ind w:left="993" w:firstLine="708"/>
        <w:jc w:val="both"/>
        <w:rPr>
          <w:sz w:val="24"/>
          <w:szCs w:val="24"/>
        </w:rPr>
      </w:pPr>
    </w:p>
    <w:p w14:paraId="6554F575" w14:textId="32E2E696" w:rsidR="00404564" w:rsidRPr="00643101" w:rsidRDefault="00B56B22" w:rsidP="00A24F3F">
      <w:pPr>
        <w:pStyle w:val="Heading1"/>
        <w:numPr>
          <w:ilvl w:val="0"/>
          <w:numId w:val="5"/>
        </w:numPr>
        <w:spacing w:before="240" w:line="360" w:lineRule="auto"/>
        <w:ind w:left="709" w:hanging="425"/>
        <w:rPr>
          <w:b/>
          <w:sz w:val="24"/>
        </w:rPr>
      </w:pPr>
      <w:r w:rsidRPr="00643101">
        <w:rPr>
          <w:b/>
          <w:sz w:val="24"/>
        </w:rPr>
        <w:lastRenderedPageBreak/>
        <w:t>Penutup</w:t>
      </w:r>
    </w:p>
    <w:p w14:paraId="293A7336" w14:textId="0C96E8B2" w:rsidR="00B56B22" w:rsidRPr="00643101" w:rsidRDefault="00B56B22" w:rsidP="001962C7">
      <w:pPr>
        <w:pStyle w:val="ListParagraph"/>
        <w:spacing w:line="360" w:lineRule="auto"/>
        <w:ind w:left="709" w:firstLine="708"/>
        <w:jc w:val="both"/>
        <w:rPr>
          <w:sz w:val="24"/>
          <w:szCs w:val="24"/>
        </w:rPr>
      </w:pPr>
      <w:r w:rsidRPr="00643101">
        <w:rPr>
          <w:sz w:val="24"/>
          <w:szCs w:val="24"/>
        </w:rPr>
        <w:t>Dengan memahami pengertian bukti surat dan membedakannya menjadi bukti akta otentik dan akta di bawah tangan, maka dapat kita mengambil beberapa kesimpulan sebagai berikut:</w:t>
      </w:r>
    </w:p>
    <w:p w14:paraId="26587486" w14:textId="3713C24A" w:rsidR="00B56B22" w:rsidRPr="00643101" w:rsidRDefault="00B56B22" w:rsidP="001962C7">
      <w:pPr>
        <w:pStyle w:val="ListParagraph"/>
        <w:numPr>
          <w:ilvl w:val="5"/>
          <w:numId w:val="2"/>
        </w:numPr>
        <w:spacing w:line="360" w:lineRule="auto"/>
        <w:ind w:left="1134" w:hanging="426"/>
        <w:jc w:val="both"/>
        <w:rPr>
          <w:sz w:val="24"/>
          <w:szCs w:val="24"/>
        </w:rPr>
      </w:pPr>
      <w:r w:rsidRPr="00643101">
        <w:rPr>
          <w:sz w:val="24"/>
          <w:szCs w:val="24"/>
        </w:rPr>
        <w:t>Bukti Tulisan atau juga disebut bukti surat atau disebut juga bukti akta adalah alat bukti yang sengaja dibuat sebagai bukti di belakang hari dan</w:t>
      </w:r>
      <w:r w:rsidR="00E31CE3" w:rsidRPr="00643101">
        <w:rPr>
          <w:sz w:val="24"/>
          <w:szCs w:val="24"/>
        </w:rPr>
        <w:t xml:space="preserve"> </w:t>
      </w:r>
      <w:r w:rsidRPr="00643101">
        <w:rPr>
          <w:sz w:val="24"/>
          <w:szCs w:val="24"/>
        </w:rPr>
        <w:t>diajukan di hadapan sidang pengadilan dalam bentuk tertulis, yang mengandung makna atau pengertian ada sesuatu perjanjian yang dibuat antara pihak-pihak yang berperkara.</w:t>
      </w:r>
    </w:p>
    <w:p w14:paraId="4C4EB7E5" w14:textId="70408DBB" w:rsidR="00B56B22" w:rsidRPr="00643101" w:rsidRDefault="00B56B22" w:rsidP="001962C7">
      <w:pPr>
        <w:pStyle w:val="ListParagraph"/>
        <w:numPr>
          <w:ilvl w:val="5"/>
          <w:numId w:val="2"/>
        </w:numPr>
        <w:spacing w:line="360" w:lineRule="auto"/>
        <w:ind w:left="1134" w:hanging="426"/>
        <w:jc w:val="both"/>
        <w:rPr>
          <w:sz w:val="24"/>
          <w:szCs w:val="24"/>
        </w:rPr>
      </w:pPr>
      <w:r w:rsidRPr="00643101">
        <w:rPr>
          <w:sz w:val="24"/>
          <w:szCs w:val="24"/>
        </w:rPr>
        <w:t>Pada umumnya di masa sekarang ini semua perjanjian atau perikatan antara pihak-pihak tersebut selalu ditulis dalam bentuk akta.</w:t>
      </w:r>
    </w:p>
    <w:p w14:paraId="778A376A" w14:textId="0BABCDC6" w:rsidR="00B56B22" w:rsidRPr="00643101" w:rsidRDefault="003E531A" w:rsidP="001962C7">
      <w:pPr>
        <w:pStyle w:val="ListParagraph"/>
        <w:numPr>
          <w:ilvl w:val="5"/>
          <w:numId w:val="2"/>
        </w:numPr>
        <w:spacing w:line="360" w:lineRule="auto"/>
        <w:ind w:left="1134" w:hanging="426"/>
        <w:jc w:val="both"/>
        <w:rPr>
          <w:sz w:val="24"/>
          <w:szCs w:val="24"/>
        </w:rPr>
      </w:pPr>
      <w:r w:rsidRPr="00643101">
        <w:rPr>
          <w:sz w:val="24"/>
          <w:szCs w:val="24"/>
        </w:rPr>
        <w:t>Sesuai dengan bentuk dan format pembuatannya, akta itu dibedakan antara dua macam, pertama akta otentik dan kedua akta di bawah tangan.</w:t>
      </w:r>
    </w:p>
    <w:p w14:paraId="5901C9B8" w14:textId="584C88E0" w:rsidR="003E531A" w:rsidRPr="00643101" w:rsidRDefault="003E531A" w:rsidP="001962C7">
      <w:pPr>
        <w:pStyle w:val="ListParagraph"/>
        <w:numPr>
          <w:ilvl w:val="5"/>
          <w:numId w:val="2"/>
        </w:numPr>
        <w:spacing w:line="360" w:lineRule="auto"/>
        <w:ind w:left="1134" w:hanging="426"/>
        <w:jc w:val="both"/>
        <w:rPr>
          <w:sz w:val="24"/>
          <w:szCs w:val="24"/>
        </w:rPr>
      </w:pPr>
      <w:r w:rsidRPr="00643101">
        <w:rPr>
          <w:sz w:val="24"/>
          <w:szCs w:val="24"/>
        </w:rPr>
        <w:t>Di dalam praktek pembuktian dalam persidangan hakim hakim jeli dalam menilai mana yang sebagai akta otentik yang memiliki bukti sempurna dan mana yang sebagai akta di bawah tangan yang tidak memiliki bukti sempurna.</w:t>
      </w:r>
    </w:p>
    <w:p w14:paraId="027D6EA8" w14:textId="3A993842" w:rsidR="00B56B22" w:rsidRPr="00643101" w:rsidRDefault="003E531A" w:rsidP="001962C7">
      <w:pPr>
        <w:pStyle w:val="ListParagraph"/>
        <w:numPr>
          <w:ilvl w:val="5"/>
          <w:numId w:val="2"/>
        </w:numPr>
        <w:spacing w:line="360" w:lineRule="auto"/>
        <w:ind w:left="1134" w:hanging="426"/>
        <w:jc w:val="both"/>
        <w:rPr>
          <w:sz w:val="24"/>
          <w:szCs w:val="24"/>
        </w:rPr>
      </w:pPr>
      <w:r w:rsidRPr="00643101">
        <w:rPr>
          <w:sz w:val="24"/>
          <w:szCs w:val="24"/>
        </w:rPr>
        <w:t>Kekeliruan di dalam menilai dan memberi nilai kepada akta otentik dan akta di bawah tangan berakibat putusan hakim akan menjadi keliru dan tidak sesuai dengan hukum acara yang berlaku.</w:t>
      </w:r>
    </w:p>
    <w:p w14:paraId="2310161E" w14:textId="77777777" w:rsidR="00080873" w:rsidRPr="00643101" w:rsidRDefault="00080873" w:rsidP="00080873">
      <w:pPr>
        <w:pStyle w:val="ListParagraph"/>
        <w:spacing w:line="360" w:lineRule="auto"/>
        <w:ind w:left="1134"/>
        <w:jc w:val="both"/>
        <w:rPr>
          <w:sz w:val="24"/>
          <w:szCs w:val="24"/>
        </w:rPr>
      </w:pPr>
    </w:p>
    <w:p w14:paraId="481A5177" w14:textId="48FD2851" w:rsidR="003E531A" w:rsidRPr="00643101" w:rsidRDefault="003E531A" w:rsidP="001962C7">
      <w:pPr>
        <w:spacing w:line="360" w:lineRule="auto"/>
        <w:ind w:left="4962"/>
        <w:rPr>
          <w:sz w:val="24"/>
          <w:szCs w:val="24"/>
        </w:rPr>
      </w:pPr>
      <w:r w:rsidRPr="00643101">
        <w:rPr>
          <w:sz w:val="24"/>
          <w:szCs w:val="24"/>
        </w:rPr>
        <w:t>Bandar Lampung, 2 Oktober 2023</w:t>
      </w:r>
    </w:p>
    <w:p w14:paraId="34B42570" w14:textId="77777777" w:rsidR="003E531A" w:rsidRPr="00643101" w:rsidRDefault="003E531A" w:rsidP="001962C7">
      <w:pPr>
        <w:spacing w:line="360" w:lineRule="auto"/>
        <w:ind w:left="4962"/>
        <w:rPr>
          <w:sz w:val="24"/>
          <w:szCs w:val="24"/>
        </w:rPr>
      </w:pPr>
    </w:p>
    <w:p w14:paraId="542DB17E" w14:textId="77777777" w:rsidR="004176F9" w:rsidRPr="00643101" w:rsidRDefault="004176F9" w:rsidP="001962C7">
      <w:pPr>
        <w:spacing w:line="360" w:lineRule="auto"/>
        <w:ind w:left="4962"/>
        <w:rPr>
          <w:sz w:val="24"/>
          <w:szCs w:val="24"/>
        </w:rPr>
      </w:pPr>
    </w:p>
    <w:p w14:paraId="7E0D000B" w14:textId="177D1134" w:rsidR="003E531A" w:rsidRPr="00643101" w:rsidRDefault="003E531A" w:rsidP="001962C7">
      <w:pPr>
        <w:spacing w:line="360" w:lineRule="auto"/>
        <w:ind w:left="4962"/>
        <w:rPr>
          <w:sz w:val="24"/>
          <w:szCs w:val="24"/>
        </w:rPr>
      </w:pPr>
      <w:r w:rsidRPr="00643101">
        <w:rPr>
          <w:sz w:val="24"/>
          <w:szCs w:val="24"/>
        </w:rPr>
        <w:t>Penulis.</w:t>
      </w:r>
    </w:p>
    <w:sectPr w:rsidR="003E531A" w:rsidRPr="00643101" w:rsidSect="00563349">
      <w:footerReference w:type="default" r:id="rId8"/>
      <w:pgSz w:w="11907" w:h="16840" w:code="9"/>
      <w:pgMar w:top="1440" w:right="1440" w:bottom="1440" w:left="1440" w:header="720"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19AFF" w14:textId="77777777" w:rsidR="00DB3D68" w:rsidRDefault="00DB3D68" w:rsidP="00744A2E">
      <w:pPr>
        <w:spacing w:line="240" w:lineRule="auto"/>
      </w:pPr>
      <w:r>
        <w:separator/>
      </w:r>
    </w:p>
  </w:endnote>
  <w:endnote w:type="continuationSeparator" w:id="0">
    <w:p w14:paraId="3C866722" w14:textId="77777777" w:rsidR="00DB3D68" w:rsidRDefault="00DB3D68" w:rsidP="00744A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456375179"/>
      <w:docPartObj>
        <w:docPartGallery w:val="Page Numbers (Bottom of Page)"/>
        <w:docPartUnique/>
      </w:docPartObj>
    </w:sdtPr>
    <w:sdtEndPr>
      <w:rPr>
        <w:noProof/>
        <w:sz w:val="24"/>
      </w:rPr>
    </w:sdtEndPr>
    <w:sdtContent>
      <w:p w14:paraId="136B68EC" w14:textId="7F3B2683" w:rsidR="00D03F10" w:rsidRPr="00563349" w:rsidRDefault="00D03F10">
        <w:pPr>
          <w:pStyle w:val="Footer"/>
          <w:jc w:val="center"/>
          <w:rPr>
            <w:sz w:val="24"/>
          </w:rPr>
        </w:pPr>
        <w:r w:rsidRPr="00563349">
          <w:rPr>
            <w:sz w:val="24"/>
          </w:rPr>
          <w:fldChar w:fldCharType="begin"/>
        </w:r>
        <w:r w:rsidRPr="00563349">
          <w:rPr>
            <w:sz w:val="24"/>
          </w:rPr>
          <w:instrText xml:space="preserve"> PAGE   \* MERGEFORMAT </w:instrText>
        </w:r>
        <w:r w:rsidRPr="00563349">
          <w:rPr>
            <w:sz w:val="24"/>
          </w:rPr>
          <w:fldChar w:fldCharType="separate"/>
        </w:r>
        <w:r w:rsidR="00DD778A">
          <w:rPr>
            <w:noProof/>
            <w:sz w:val="24"/>
          </w:rPr>
          <w:t>4</w:t>
        </w:r>
        <w:r w:rsidRPr="00563349">
          <w:rPr>
            <w:noProof/>
            <w:sz w:val="24"/>
          </w:rPr>
          <w:fldChar w:fldCharType="end"/>
        </w:r>
      </w:p>
    </w:sdtContent>
  </w:sdt>
  <w:p w14:paraId="1C95526A" w14:textId="77777777" w:rsidR="00D03F10" w:rsidRPr="00563349" w:rsidRDefault="00D03F10">
    <w:pPr>
      <w:pStyle w:val="Footer"/>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FAF8D" w14:textId="77777777" w:rsidR="00DB3D68" w:rsidRDefault="00DB3D68" w:rsidP="00744A2E">
      <w:pPr>
        <w:spacing w:line="240" w:lineRule="auto"/>
      </w:pPr>
      <w:r>
        <w:separator/>
      </w:r>
    </w:p>
  </w:footnote>
  <w:footnote w:type="continuationSeparator" w:id="0">
    <w:p w14:paraId="6CA7AF8E" w14:textId="77777777" w:rsidR="00DB3D68" w:rsidRDefault="00DB3D68" w:rsidP="00744A2E">
      <w:pPr>
        <w:spacing w:line="240" w:lineRule="auto"/>
      </w:pPr>
      <w:r>
        <w:continuationSeparator/>
      </w:r>
    </w:p>
  </w:footnote>
  <w:footnote w:id="1">
    <w:p w14:paraId="5E5579D0" w14:textId="3DF2289E" w:rsidR="00744A2E" w:rsidRPr="00DE66A9" w:rsidRDefault="00643101" w:rsidP="00D03F10">
      <w:pPr>
        <w:pStyle w:val="FootnoteText"/>
        <w:rPr>
          <w:lang w:val="en-GB"/>
        </w:rPr>
      </w:pPr>
      <w:r w:rsidRPr="00D03F10">
        <w:rPr>
          <w:rStyle w:val="FootnoteReference"/>
          <w:sz w:val="18"/>
          <w:szCs w:val="18"/>
        </w:rPr>
        <w:footnoteRef/>
      </w:r>
      <w:r w:rsidRPr="00D03F10">
        <w:rPr>
          <w:sz w:val="18"/>
          <w:szCs w:val="18"/>
        </w:rPr>
        <w:t xml:space="preserve"> </w:t>
      </w:r>
      <w:r w:rsidRPr="00643101">
        <w:rPr>
          <w:sz w:val="18"/>
          <w:szCs w:val="18"/>
          <w:lang w:val="en-GB"/>
        </w:rPr>
        <w:t xml:space="preserve">M Yahya Harahap, </w:t>
      </w:r>
      <w:r w:rsidRPr="00643101">
        <w:rPr>
          <w:i/>
          <w:sz w:val="18"/>
          <w:szCs w:val="18"/>
        </w:rPr>
        <w:t xml:space="preserve">Hukum Acara Perdata tentang Gugatan, Persidangan, Penyitaan, Pembuktian dan Putusan Pengadilan, </w:t>
      </w:r>
      <w:r w:rsidRPr="00643101">
        <w:rPr>
          <w:rFonts w:ascii="Corbel" w:eastAsia="Times New Roman" w:hAnsi="Corbel" w:cs="Times New Roman"/>
          <w:sz w:val="18"/>
          <w:szCs w:val="18"/>
          <w:lang w:val="en-US"/>
        </w:rPr>
        <w:t>Jakarta: Sinar Grafika, 2007, hal. 559</w:t>
      </w:r>
    </w:p>
  </w:footnote>
  <w:footnote w:id="2">
    <w:p w14:paraId="0C9F05E9" w14:textId="31E648C2" w:rsidR="004176F9" w:rsidRPr="004176F9" w:rsidRDefault="004176F9" w:rsidP="00F669E0">
      <w:pPr>
        <w:pStyle w:val="FootnoteText"/>
        <w:rPr>
          <w:lang w:val="en-GB"/>
        </w:rPr>
      </w:pPr>
      <w:r>
        <w:rPr>
          <w:rStyle w:val="FootnoteReference"/>
        </w:rPr>
        <w:footnoteRef/>
      </w:r>
      <w:r>
        <w:t xml:space="preserve"> </w:t>
      </w:r>
      <w:r w:rsidRPr="004176F9">
        <w:rPr>
          <w:sz w:val="18"/>
          <w:szCs w:val="18"/>
        </w:rPr>
        <w:t>Tentang penandatanganan akta oleh pihak-pihak yang membuatnya dalam didalami melalui Pasal Pasal 1869 dan Pasal 1874 KUH Perdata</w:t>
      </w:r>
      <w:r>
        <w:rPr>
          <w:sz w:val="18"/>
          <w:szCs w:val="18"/>
        </w:rPr>
        <w:t>.</w:t>
      </w:r>
    </w:p>
  </w:footnote>
  <w:footnote w:id="3">
    <w:p w14:paraId="02AD0512" w14:textId="592DA352" w:rsidR="004176F9" w:rsidRPr="004176F9" w:rsidRDefault="004176F9" w:rsidP="00F669E0">
      <w:pPr>
        <w:pStyle w:val="FootnoteText"/>
        <w:jc w:val="both"/>
        <w:rPr>
          <w:lang w:val="en-GB"/>
        </w:rPr>
      </w:pPr>
      <w:r>
        <w:rPr>
          <w:rStyle w:val="FootnoteReference"/>
        </w:rPr>
        <w:footnoteRef/>
      </w:r>
      <w:r w:rsidRPr="004176F9">
        <w:rPr>
          <w:sz w:val="18"/>
          <w:szCs w:val="18"/>
        </w:rPr>
        <w:t xml:space="preserve">Pasal Pasal 53 ayat (1) </w:t>
      </w:r>
      <w:r w:rsidRPr="004176F9">
        <w:rPr>
          <w:rFonts w:eastAsia="Times New Roman"/>
          <w:color w:val="202124"/>
          <w:sz w:val="18"/>
          <w:szCs w:val="18"/>
          <w:lang w:val="id-ID"/>
        </w:rPr>
        <w:t>Undang-undang Kekuasaan Kehakiman </w:t>
      </w:r>
      <w:r w:rsidRPr="004176F9">
        <w:rPr>
          <w:rFonts w:eastAsia="Times New Roman"/>
          <w:color w:val="040C28"/>
          <w:sz w:val="18"/>
          <w:szCs w:val="18"/>
          <w:lang w:val="id-ID"/>
        </w:rPr>
        <w:t>Pasal 53</w:t>
      </w:r>
      <w:r w:rsidRPr="004176F9">
        <w:rPr>
          <w:rFonts w:eastAsia="Times New Roman"/>
          <w:color w:val="040C28"/>
          <w:sz w:val="18"/>
          <w:szCs w:val="18"/>
          <w:lang w:val="en-GB"/>
        </w:rPr>
        <w:t>, dapat dipakai sebagai dasar bahwa putusan hakim adalah akta otentik, sedangkan untuk melihat apa saja isi putusan hakim itu dapat ditelusuri melalui Pasal 195  Rbg.</w:t>
      </w:r>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27F51"/>
    <w:multiLevelType w:val="hybridMultilevel"/>
    <w:tmpl w:val="F438CAF2"/>
    <w:lvl w:ilvl="0" w:tplc="328203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67B04"/>
    <w:multiLevelType w:val="hybridMultilevel"/>
    <w:tmpl w:val="7444CD9E"/>
    <w:lvl w:ilvl="0" w:tplc="789C715C">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47E6334"/>
    <w:multiLevelType w:val="hybridMultilevel"/>
    <w:tmpl w:val="16562E3A"/>
    <w:lvl w:ilvl="0" w:tplc="0409000F">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3" w15:restartNumberingAfterBreak="0">
    <w:nsid w:val="1F5659FB"/>
    <w:multiLevelType w:val="multilevel"/>
    <w:tmpl w:val="5B60D6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618B5488"/>
    <w:multiLevelType w:val="multilevel"/>
    <w:tmpl w:val="5AE2FA0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411207"/>
    <w:rsid w:val="00080873"/>
    <w:rsid w:val="00103DC1"/>
    <w:rsid w:val="001962C7"/>
    <w:rsid w:val="00197487"/>
    <w:rsid w:val="002074BD"/>
    <w:rsid w:val="00240BF8"/>
    <w:rsid w:val="00280888"/>
    <w:rsid w:val="00296865"/>
    <w:rsid w:val="002C0605"/>
    <w:rsid w:val="002C5D56"/>
    <w:rsid w:val="002D0107"/>
    <w:rsid w:val="00307016"/>
    <w:rsid w:val="003B1DDD"/>
    <w:rsid w:val="003E531A"/>
    <w:rsid w:val="00404564"/>
    <w:rsid w:val="00411207"/>
    <w:rsid w:val="004176F9"/>
    <w:rsid w:val="00431534"/>
    <w:rsid w:val="00461B82"/>
    <w:rsid w:val="004A04D2"/>
    <w:rsid w:val="004C01B5"/>
    <w:rsid w:val="00563349"/>
    <w:rsid w:val="00593A0C"/>
    <w:rsid w:val="005B5257"/>
    <w:rsid w:val="0061483E"/>
    <w:rsid w:val="00624A0E"/>
    <w:rsid w:val="00643101"/>
    <w:rsid w:val="00744A2E"/>
    <w:rsid w:val="00791AD0"/>
    <w:rsid w:val="008C2436"/>
    <w:rsid w:val="008E0635"/>
    <w:rsid w:val="00981203"/>
    <w:rsid w:val="009D2DDF"/>
    <w:rsid w:val="009D654E"/>
    <w:rsid w:val="00A10261"/>
    <w:rsid w:val="00A24F3F"/>
    <w:rsid w:val="00A442C0"/>
    <w:rsid w:val="00A955EF"/>
    <w:rsid w:val="00B56B22"/>
    <w:rsid w:val="00C6373C"/>
    <w:rsid w:val="00D03F10"/>
    <w:rsid w:val="00D221C1"/>
    <w:rsid w:val="00D35B48"/>
    <w:rsid w:val="00D6689B"/>
    <w:rsid w:val="00DB3D68"/>
    <w:rsid w:val="00DD778A"/>
    <w:rsid w:val="00DE66A9"/>
    <w:rsid w:val="00E31CE3"/>
    <w:rsid w:val="00F669E0"/>
    <w:rsid w:val="00F73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3CB83"/>
  <w15:docId w15:val="{48406321-B886-4E3F-8729-72172C129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qFormat/>
    <w:rsid w:val="00431534"/>
    <w:pPr>
      <w:keepNext/>
      <w:keepLines/>
      <w:spacing w:before="400" w:after="120"/>
      <w:outlineLvl w:val="0"/>
    </w:pPr>
    <w:rPr>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461B8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44A2E"/>
    <w:pPr>
      <w:ind w:left="720"/>
      <w:contextualSpacing/>
    </w:pPr>
  </w:style>
  <w:style w:type="paragraph" w:styleId="FootnoteText">
    <w:name w:val="footnote text"/>
    <w:basedOn w:val="Normal"/>
    <w:link w:val="FootnoteTextChar"/>
    <w:uiPriority w:val="99"/>
    <w:semiHidden/>
    <w:unhideWhenUsed/>
    <w:rsid w:val="00744A2E"/>
    <w:pPr>
      <w:spacing w:line="240" w:lineRule="auto"/>
    </w:pPr>
    <w:rPr>
      <w:sz w:val="20"/>
      <w:szCs w:val="20"/>
    </w:rPr>
  </w:style>
  <w:style w:type="character" w:customStyle="1" w:styleId="FootnoteTextChar">
    <w:name w:val="Footnote Text Char"/>
    <w:basedOn w:val="DefaultParagraphFont"/>
    <w:link w:val="FootnoteText"/>
    <w:uiPriority w:val="99"/>
    <w:semiHidden/>
    <w:rsid w:val="00744A2E"/>
    <w:rPr>
      <w:sz w:val="20"/>
      <w:szCs w:val="20"/>
    </w:rPr>
  </w:style>
  <w:style w:type="character" w:styleId="FootnoteReference">
    <w:name w:val="footnote reference"/>
    <w:basedOn w:val="DefaultParagraphFont"/>
    <w:uiPriority w:val="99"/>
    <w:semiHidden/>
    <w:unhideWhenUsed/>
    <w:rsid w:val="00744A2E"/>
    <w:rPr>
      <w:vertAlign w:val="superscript"/>
    </w:rPr>
  </w:style>
  <w:style w:type="character" w:customStyle="1" w:styleId="hgkelc">
    <w:name w:val="hgkelc"/>
    <w:basedOn w:val="DefaultParagraphFont"/>
    <w:rsid w:val="00240BF8"/>
  </w:style>
  <w:style w:type="paragraph" w:styleId="BodyText">
    <w:name w:val="Body Text"/>
    <w:basedOn w:val="Normal"/>
    <w:link w:val="BodyTextChar"/>
    <w:uiPriority w:val="1"/>
    <w:qFormat/>
    <w:rsid w:val="00791AD0"/>
    <w:pPr>
      <w:widowControl w:val="0"/>
      <w:autoSpaceDE w:val="0"/>
      <w:autoSpaceDN w:val="0"/>
      <w:spacing w:line="240" w:lineRule="auto"/>
      <w:ind w:left="711"/>
      <w:jc w:val="both"/>
    </w:pPr>
    <w:rPr>
      <w:sz w:val="18"/>
      <w:szCs w:val="18"/>
      <w:lang w:val="en-US"/>
    </w:rPr>
  </w:style>
  <w:style w:type="character" w:customStyle="1" w:styleId="BodyTextChar">
    <w:name w:val="Body Text Char"/>
    <w:basedOn w:val="DefaultParagraphFont"/>
    <w:link w:val="BodyText"/>
    <w:uiPriority w:val="1"/>
    <w:rsid w:val="00791AD0"/>
    <w:rPr>
      <w:sz w:val="18"/>
      <w:szCs w:val="18"/>
      <w:lang w:val="en-US"/>
    </w:rPr>
  </w:style>
  <w:style w:type="paragraph" w:styleId="Header">
    <w:name w:val="header"/>
    <w:basedOn w:val="Normal"/>
    <w:link w:val="HeaderChar"/>
    <w:uiPriority w:val="99"/>
    <w:unhideWhenUsed/>
    <w:rsid w:val="00D03F10"/>
    <w:pPr>
      <w:tabs>
        <w:tab w:val="center" w:pos="4680"/>
        <w:tab w:val="right" w:pos="9360"/>
      </w:tabs>
      <w:spacing w:line="240" w:lineRule="auto"/>
    </w:pPr>
  </w:style>
  <w:style w:type="character" w:customStyle="1" w:styleId="HeaderChar">
    <w:name w:val="Header Char"/>
    <w:basedOn w:val="DefaultParagraphFont"/>
    <w:link w:val="Header"/>
    <w:uiPriority w:val="99"/>
    <w:rsid w:val="00D03F10"/>
  </w:style>
  <w:style w:type="paragraph" w:styleId="Footer">
    <w:name w:val="footer"/>
    <w:basedOn w:val="Normal"/>
    <w:link w:val="FooterChar"/>
    <w:uiPriority w:val="99"/>
    <w:unhideWhenUsed/>
    <w:rsid w:val="00D03F10"/>
    <w:pPr>
      <w:tabs>
        <w:tab w:val="center" w:pos="4680"/>
        <w:tab w:val="right" w:pos="9360"/>
      </w:tabs>
      <w:spacing w:line="240" w:lineRule="auto"/>
    </w:pPr>
  </w:style>
  <w:style w:type="character" w:customStyle="1" w:styleId="FooterChar">
    <w:name w:val="Footer Char"/>
    <w:basedOn w:val="DefaultParagraphFont"/>
    <w:link w:val="Footer"/>
    <w:uiPriority w:val="99"/>
    <w:rsid w:val="00D03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45748">
      <w:bodyDiv w:val="1"/>
      <w:marLeft w:val="0"/>
      <w:marRight w:val="0"/>
      <w:marTop w:val="0"/>
      <w:marBottom w:val="0"/>
      <w:divBdr>
        <w:top w:val="none" w:sz="0" w:space="0" w:color="auto"/>
        <w:left w:val="none" w:sz="0" w:space="0" w:color="auto"/>
        <w:bottom w:val="none" w:sz="0" w:space="0" w:color="auto"/>
        <w:right w:val="none" w:sz="0" w:space="0" w:color="auto"/>
      </w:divBdr>
    </w:div>
    <w:div w:id="1527981283">
      <w:bodyDiv w:val="1"/>
      <w:marLeft w:val="0"/>
      <w:marRight w:val="0"/>
      <w:marTop w:val="0"/>
      <w:marBottom w:val="0"/>
      <w:divBdr>
        <w:top w:val="none" w:sz="0" w:space="0" w:color="auto"/>
        <w:left w:val="none" w:sz="0" w:space="0" w:color="auto"/>
        <w:bottom w:val="none" w:sz="0" w:space="0" w:color="auto"/>
        <w:right w:val="none" w:sz="0" w:space="0" w:color="auto"/>
      </w:divBdr>
      <w:divsChild>
        <w:div w:id="283653240">
          <w:marLeft w:val="0"/>
          <w:marRight w:val="0"/>
          <w:marTop w:val="0"/>
          <w:marBottom w:val="0"/>
          <w:divBdr>
            <w:top w:val="none" w:sz="0" w:space="0" w:color="auto"/>
            <w:left w:val="none" w:sz="0" w:space="0" w:color="auto"/>
            <w:bottom w:val="none" w:sz="0" w:space="0" w:color="auto"/>
            <w:right w:val="none" w:sz="0" w:space="0" w:color="auto"/>
          </w:divBdr>
        </w:div>
      </w:divsChild>
    </w:div>
    <w:div w:id="1618609735">
      <w:bodyDiv w:val="1"/>
      <w:marLeft w:val="0"/>
      <w:marRight w:val="0"/>
      <w:marTop w:val="0"/>
      <w:marBottom w:val="0"/>
      <w:divBdr>
        <w:top w:val="none" w:sz="0" w:space="0" w:color="auto"/>
        <w:left w:val="none" w:sz="0" w:space="0" w:color="auto"/>
        <w:bottom w:val="none" w:sz="0" w:space="0" w:color="auto"/>
        <w:right w:val="none" w:sz="0" w:space="0" w:color="auto"/>
      </w:divBdr>
      <w:divsChild>
        <w:div w:id="1187596859">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B6397-33FE-4509-903D-FDE4ABE7F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9</Pages>
  <Words>2531</Words>
  <Characters>14429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ASUS1</cp:lastModifiedBy>
  <cp:revision>23</cp:revision>
  <dcterms:created xsi:type="dcterms:W3CDTF">2023-09-25T06:56:00Z</dcterms:created>
  <dcterms:modified xsi:type="dcterms:W3CDTF">2023-10-02T04:19:00Z</dcterms:modified>
</cp:coreProperties>
</file>